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66E" w:rsidRPr="003F366E" w:rsidRDefault="003F366E" w:rsidP="003F366E">
      <w:pPr>
        <w:pStyle w:val="1"/>
        <w:spacing w:before="161" w:beforeAutospacing="0" w:after="161" w:afterAutospacing="0"/>
        <w:rPr>
          <w:sz w:val="24"/>
          <w:szCs w:val="24"/>
        </w:rPr>
      </w:pPr>
      <w:r w:rsidRPr="003F366E">
        <w:rPr>
          <w:sz w:val="24"/>
          <w:szCs w:val="24"/>
        </w:rPr>
        <w:t>&lt;Письмо&gt; Минприроды России от 28.03.2022 N 12-47/10354 "О постановке объектов на государственный учет"</w:t>
      </w:r>
    </w:p>
    <w:p w:rsidR="003F366E" w:rsidRPr="003F366E" w:rsidRDefault="003F366E" w:rsidP="003F366E">
      <w:pPr>
        <w:pStyle w:val="aligncenter"/>
        <w:shd w:val="clear" w:color="auto" w:fill="FFFFFF"/>
        <w:spacing w:before="0" w:beforeAutospacing="0" w:after="0" w:afterAutospacing="0" w:line="450" w:lineRule="atLeast"/>
        <w:jc w:val="center"/>
        <w:rPr>
          <w:b/>
          <w:bCs/>
          <w:color w:val="000000"/>
          <w:sz w:val="26"/>
          <w:szCs w:val="26"/>
        </w:rPr>
      </w:pPr>
      <w:r w:rsidRPr="003F366E">
        <w:rPr>
          <w:b/>
          <w:bCs/>
          <w:color w:val="000000"/>
          <w:sz w:val="26"/>
          <w:szCs w:val="26"/>
        </w:rPr>
        <w:t>МИНИСТЕРСТВО ПРИРОДНЫХ РЕСУРСОВ И ЭКОЛОГИИ</w:t>
      </w:r>
    </w:p>
    <w:p w:rsidR="003F366E" w:rsidRPr="003F366E" w:rsidRDefault="003F366E" w:rsidP="003F366E">
      <w:pPr>
        <w:pStyle w:val="aligncenter"/>
        <w:shd w:val="clear" w:color="auto" w:fill="FFFFFF"/>
        <w:spacing w:before="210" w:beforeAutospacing="0" w:after="0" w:afterAutospacing="0" w:line="450" w:lineRule="atLeast"/>
        <w:jc w:val="center"/>
        <w:rPr>
          <w:b/>
          <w:bCs/>
          <w:color w:val="000000"/>
          <w:sz w:val="26"/>
          <w:szCs w:val="26"/>
        </w:rPr>
      </w:pPr>
      <w:r w:rsidRPr="003F366E">
        <w:rPr>
          <w:b/>
          <w:bCs/>
          <w:color w:val="000000"/>
          <w:sz w:val="26"/>
          <w:szCs w:val="26"/>
        </w:rPr>
        <w:t>РОССИЙСКОЙ ФЕДЕРАЦИИ</w:t>
      </w:r>
    </w:p>
    <w:p w:rsidR="003F366E" w:rsidRPr="003F366E" w:rsidRDefault="003F366E" w:rsidP="003F366E">
      <w:pPr>
        <w:pStyle w:val="aligncenter"/>
        <w:shd w:val="clear" w:color="auto" w:fill="FFFFFF"/>
        <w:spacing w:before="0" w:beforeAutospacing="0" w:after="0" w:afterAutospacing="0" w:line="450" w:lineRule="atLeast"/>
        <w:jc w:val="center"/>
        <w:rPr>
          <w:b/>
          <w:bCs/>
          <w:color w:val="000000"/>
          <w:sz w:val="26"/>
          <w:szCs w:val="26"/>
        </w:rPr>
      </w:pPr>
      <w:r w:rsidRPr="003F366E">
        <w:rPr>
          <w:b/>
          <w:bCs/>
          <w:color w:val="000000"/>
          <w:sz w:val="26"/>
          <w:szCs w:val="26"/>
        </w:rPr>
        <w:t>ПИСЬМО</w:t>
      </w:r>
    </w:p>
    <w:p w:rsidR="003F366E" w:rsidRPr="003F366E" w:rsidRDefault="003F366E" w:rsidP="003F366E">
      <w:pPr>
        <w:pStyle w:val="aligncenter"/>
        <w:shd w:val="clear" w:color="auto" w:fill="FFFFFF"/>
        <w:spacing w:before="210" w:beforeAutospacing="0" w:after="0" w:afterAutospacing="0" w:line="450" w:lineRule="atLeast"/>
        <w:jc w:val="center"/>
        <w:rPr>
          <w:b/>
          <w:bCs/>
          <w:color w:val="000000"/>
          <w:sz w:val="26"/>
          <w:szCs w:val="26"/>
        </w:rPr>
      </w:pPr>
      <w:r w:rsidRPr="003F366E">
        <w:rPr>
          <w:b/>
          <w:bCs/>
          <w:color w:val="000000"/>
          <w:sz w:val="26"/>
          <w:szCs w:val="26"/>
        </w:rPr>
        <w:t>от 28 марта 2022 г. N 12-47/10354</w:t>
      </w:r>
    </w:p>
    <w:p w:rsidR="003F366E" w:rsidRPr="003F366E" w:rsidRDefault="003F366E" w:rsidP="003F366E">
      <w:pPr>
        <w:pStyle w:val="aligncenter"/>
        <w:shd w:val="clear" w:color="auto" w:fill="FFFFFF"/>
        <w:spacing w:before="0" w:beforeAutospacing="0" w:after="0" w:afterAutospacing="0" w:line="450" w:lineRule="atLeast"/>
        <w:jc w:val="center"/>
        <w:rPr>
          <w:b/>
          <w:bCs/>
          <w:color w:val="000000"/>
          <w:sz w:val="26"/>
          <w:szCs w:val="26"/>
        </w:rPr>
      </w:pPr>
      <w:r w:rsidRPr="003F366E">
        <w:rPr>
          <w:b/>
          <w:bCs/>
          <w:color w:val="000000"/>
          <w:sz w:val="26"/>
          <w:szCs w:val="26"/>
        </w:rPr>
        <w:t>О ПОСТАНОВКЕ ОБЪЕКТОВ НА ГОСУДАРСТВЕННЫЙ УЧЕТ</w:t>
      </w:r>
    </w:p>
    <w:p w:rsidR="003F366E" w:rsidRPr="003F366E" w:rsidRDefault="003F366E" w:rsidP="003F366E">
      <w:pPr>
        <w:pStyle w:val="a3"/>
        <w:shd w:val="clear" w:color="auto" w:fill="FFFFFF"/>
        <w:spacing w:before="210" w:beforeAutospacing="0" w:after="0" w:afterAutospacing="0" w:line="360" w:lineRule="atLeast"/>
        <w:ind w:firstLine="540"/>
        <w:jc w:val="both"/>
        <w:rPr>
          <w:color w:val="000000"/>
          <w:sz w:val="26"/>
          <w:szCs w:val="26"/>
        </w:rPr>
      </w:pPr>
      <w:r w:rsidRPr="003F366E">
        <w:rPr>
          <w:color w:val="000000"/>
          <w:sz w:val="26"/>
          <w:szCs w:val="26"/>
        </w:rPr>
        <w:t>Минприроды России в рамках установленной компетенции рассмотрело письмо о постановке на государственный учет объектов, на которых осуществляется деятельность по добыче подземных вод, и сообщает.</w:t>
      </w:r>
    </w:p>
    <w:p w:rsidR="003F366E" w:rsidRPr="003F366E" w:rsidRDefault="003F366E" w:rsidP="003F366E">
      <w:pPr>
        <w:pStyle w:val="a3"/>
        <w:shd w:val="clear" w:color="auto" w:fill="FFFFFF"/>
        <w:spacing w:before="210" w:beforeAutospacing="0" w:after="0" w:afterAutospacing="0" w:line="360" w:lineRule="atLeast"/>
        <w:ind w:firstLine="540"/>
        <w:jc w:val="both"/>
        <w:rPr>
          <w:color w:val="000000"/>
          <w:sz w:val="26"/>
          <w:szCs w:val="26"/>
        </w:rPr>
      </w:pPr>
      <w:r w:rsidRPr="003F366E">
        <w:rPr>
          <w:color w:val="000000"/>
          <w:sz w:val="26"/>
          <w:szCs w:val="26"/>
        </w:rPr>
        <w:t>В соответствии со </w:t>
      </w:r>
      <w:hyperlink r:id="rId4" w:anchor="dst100012" w:history="1">
        <w:r w:rsidRPr="003F366E">
          <w:rPr>
            <w:rStyle w:val="a4"/>
            <w:color w:val="1A0DAB"/>
            <w:sz w:val="26"/>
            <w:szCs w:val="26"/>
          </w:rPr>
          <w:t>статьей 1</w:t>
        </w:r>
      </w:hyperlink>
      <w:r w:rsidRPr="003F366E">
        <w:rPr>
          <w:color w:val="000000"/>
          <w:sz w:val="26"/>
          <w:szCs w:val="26"/>
        </w:rPr>
        <w:t> Федерального закона от 10.01.2002 N 7-ФЗ "Об охране окружающей среды" (далее - Закон N 7-ФЗ) объект, оказывающий негативное воздействие на окружающую среду (далее - объект НВОС), - это объект капитального строительства и (или) другой объект, а также их совокупность, объединенные единым назначением и (или) неразрывно связанные физически или технологически и расположенные в пределах одного или нескольких земельных участков.</w:t>
      </w:r>
    </w:p>
    <w:p w:rsidR="003F366E" w:rsidRPr="003F366E" w:rsidRDefault="003F366E" w:rsidP="003F366E">
      <w:pPr>
        <w:pStyle w:val="a3"/>
        <w:shd w:val="clear" w:color="auto" w:fill="FFFFFF"/>
        <w:spacing w:before="210" w:beforeAutospacing="0" w:after="0" w:afterAutospacing="0" w:line="360" w:lineRule="atLeast"/>
        <w:ind w:firstLine="540"/>
        <w:jc w:val="both"/>
        <w:rPr>
          <w:color w:val="000000"/>
          <w:sz w:val="26"/>
          <w:szCs w:val="26"/>
        </w:rPr>
      </w:pPr>
      <w:hyperlink r:id="rId5" w:anchor="dst100010" w:history="1">
        <w:r w:rsidRPr="003F366E">
          <w:rPr>
            <w:rStyle w:val="a4"/>
            <w:color w:val="1A0DAB"/>
            <w:sz w:val="26"/>
            <w:szCs w:val="26"/>
          </w:rPr>
          <w:t>Критерии</w:t>
        </w:r>
      </w:hyperlink>
      <w:r w:rsidRPr="003F366E">
        <w:rPr>
          <w:color w:val="000000"/>
          <w:sz w:val="26"/>
          <w:szCs w:val="26"/>
        </w:rPr>
        <w:t> отнесения объектов НВОС к объектам I, II, III и IV категорий утверждены постановлением Правительства Российской Федерации от 31.12.2020 N 2398 (далее - Критерии).</w:t>
      </w:r>
    </w:p>
    <w:p w:rsidR="003F366E" w:rsidRPr="003F366E" w:rsidRDefault="003F366E" w:rsidP="003F366E">
      <w:pPr>
        <w:pStyle w:val="a3"/>
        <w:shd w:val="clear" w:color="auto" w:fill="FFFFFF"/>
        <w:spacing w:before="210" w:beforeAutospacing="0" w:after="0" w:afterAutospacing="0" w:line="360" w:lineRule="atLeast"/>
        <w:ind w:firstLine="540"/>
        <w:jc w:val="both"/>
        <w:rPr>
          <w:color w:val="000000"/>
          <w:sz w:val="26"/>
          <w:szCs w:val="26"/>
        </w:rPr>
      </w:pPr>
      <w:r w:rsidRPr="003F366E">
        <w:rPr>
          <w:color w:val="000000"/>
          <w:sz w:val="26"/>
          <w:szCs w:val="26"/>
        </w:rPr>
        <w:t>В соответствии с </w:t>
      </w:r>
      <w:hyperlink r:id="rId6" w:anchor="dst100167" w:history="1">
        <w:r w:rsidRPr="003F366E">
          <w:rPr>
            <w:rStyle w:val="a4"/>
            <w:color w:val="1A0DAB"/>
            <w:sz w:val="26"/>
            <w:szCs w:val="26"/>
          </w:rPr>
          <w:t>подпунктом 4 пункта 6</w:t>
        </w:r>
      </w:hyperlink>
      <w:r w:rsidRPr="003F366E">
        <w:rPr>
          <w:color w:val="000000"/>
          <w:sz w:val="26"/>
          <w:szCs w:val="26"/>
        </w:rPr>
        <w:t> Критериев объект НВОС может быть отнесен к объектам III категории в случае, если на объекте НВОС осуществляется хозяйственная и (или) иная деятельность исключительно по добыче подземных вод, за исключением деятельности, указанной в </w:t>
      </w:r>
      <w:hyperlink r:id="rId7" w:anchor="dst100175" w:history="1">
        <w:r w:rsidRPr="003F366E">
          <w:rPr>
            <w:rStyle w:val="a4"/>
            <w:color w:val="1A0DAB"/>
            <w:sz w:val="26"/>
            <w:szCs w:val="26"/>
          </w:rPr>
          <w:t>пункте 10</w:t>
        </w:r>
      </w:hyperlink>
      <w:r w:rsidRPr="003F366E">
        <w:rPr>
          <w:color w:val="000000"/>
          <w:sz w:val="26"/>
          <w:szCs w:val="26"/>
        </w:rPr>
        <w:t> Критериев.</w:t>
      </w:r>
    </w:p>
    <w:p w:rsidR="003F366E" w:rsidRPr="003F366E" w:rsidRDefault="003F366E" w:rsidP="003F366E">
      <w:pPr>
        <w:pStyle w:val="a3"/>
        <w:shd w:val="clear" w:color="auto" w:fill="FFFFFF"/>
        <w:spacing w:before="210" w:beforeAutospacing="0" w:after="0" w:afterAutospacing="0" w:line="360" w:lineRule="atLeast"/>
        <w:ind w:firstLine="540"/>
        <w:jc w:val="both"/>
        <w:rPr>
          <w:color w:val="000000"/>
          <w:sz w:val="26"/>
          <w:szCs w:val="26"/>
        </w:rPr>
      </w:pPr>
      <w:r w:rsidRPr="003F366E">
        <w:rPr>
          <w:color w:val="000000"/>
          <w:sz w:val="26"/>
          <w:szCs w:val="26"/>
        </w:rPr>
        <w:t>Согласно </w:t>
      </w:r>
      <w:hyperlink r:id="rId8" w:anchor="dst100175" w:history="1">
        <w:r w:rsidRPr="003F366E">
          <w:rPr>
            <w:rStyle w:val="a4"/>
            <w:color w:val="1A0DAB"/>
            <w:sz w:val="26"/>
            <w:szCs w:val="26"/>
          </w:rPr>
          <w:t>пункту 10</w:t>
        </w:r>
      </w:hyperlink>
      <w:r w:rsidRPr="003F366E">
        <w:rPr>
          <w:color w:val="000000"/>
          <w:sz w:val="26"/>
          <w:szCs w:val="26"/>
        </w:rPr>
        <w:t> Критериев к объектам IV категории относятся объекты НВОС, на которых осуществляется хозяйственная и (или) иная деятельность исключительно по добыче подземных вод при условии отсутствия выбросов загрязняющих веществ в атмосферный воздух, сбросов загрязняющих веществ в окружающую среду или для целей питьевого, хозяйственно-бытового водоснабжения и (или) технического водоснабжения (с объемом добычи менее 500 куб. метров в сутки).</w:t>
      </w:r>
    </w:p>
    <w:p w:rsidR="003F366E" w:rsidRPr="003F366E" w:rsidRDefault="003F366E" w:rsidP="003F366E">
      <w:pPr>
        <w:pStyle w:val="a3"/>
        <w:shd w:val="clear" w:color="auto" w:fill="FFFFFF"/>
        <w:spacing w:before="210" w:beforeAutospacing="0" w:after="0" w:afterAutospacing="0" w:line="360" w:lineRule="atLeast"/>
        <w:ind w:firstLine="540"/>
        <w:jc w:val="both"/>
        <w:rPr>
          <w:color w:val="000000"/>
          <w:sz w:val="26"/>
          <w:szCs w:val="26"/>
        </w:rPr>
      </w:pPr>
      <w:r w:rsidRPr="003F366E">
        <w:rPr>
          <w:color w:val="000000"/>
          <w:sz w:val="26"/>
          <w:szCs w:val="26"/>
        </w:rPr>
        <w:t>Учитывая, что </w:t>
      </w:r>
      <w:hyperlink r:id="rId9" w:history="1">
        <w:r w:rsidRPr="003F366E">
          <w:rPr>
            <w:rStyle w:val="a4"/>
            <w:color w:val="1A0DAB"/>
            <w:sz w:val="26"/>
            <w:szCs w:val="26"/>
          </w:rPr>
          <w:t>Законом</w:t>
        </w:r>
      </w:hyperlink>
      <w:r w:rsidRPr="003F366E">
        <w:rPr>
          <w:color w:val="000000"/>
          <w:sz w:val="26"/>
          <w:szCs w:val="26"/>
        </w:rPr>
        <w:t xml:space="preserve"> N 7-ФЗ выделены следующие признаки объекта НВОС - единое назначение и (или) неразрывная физическая или технологическая связанность, в случае если водозабор подземных вод объединен единым </w:t>
      </w:r>
      <w:r w:rsidRPr="003F366E">
        <w:rPr>
          <w:color w:val="000000"/>
          <w:sz w:val="26"/>
          <w:szCs w:val="26"/>
        </w:rPr>
        <w:lastRenderedPageBreak/>
        <w:t>назначением и (или) неразрывно связан физически или технологически и расположен в пределах одного или нескольких земельных участков с объектом НВОС, уже поставленным на государственный учет объектов НВОС, то полагаем, что сведения о таком водозаборе могут быть отражены в сведениях об объекте НВОС, который уже поставлен на государственный учет.</w:t>
      </w:r>
    </w:p>
    <w:p w:rsidR="003F366E" w:rsidRPr="003F366E" w:rsidRDefault="003F366E" w:rsidP="003F366E">
      <w:pPr>
        <w:pStyle w:val="a3"/>
        <w:shd w:val="clear" w:color="auto" w:fill="FFFFFF"/>
        <w:spacing w:before="210" w:beforeAutospacing="0" w:after="0" w:afterAutospacing="0" w:line="360" w:lineRule="atLeast"/>
        <w:ind w:firstLine="540"/>
        <w:jc w:val="both"/>
        <w:rPr>
          <w:color w:val="000000"/>
          <w:sz w:val="26"/>
          <w:szCs w:val="26"/>
        </w:rPr>
      </w:pPr>
      <w:r w:rsidRPr="003F366E">
        <w:rPr>
          <w:color w:val="000000"/>
          <w:sz w:val="26"/>
          <w:szCs w:val="26"/>
        </w:rPr>
        <w:t>Согласно </w:t>
      </w:r>
      <w:hyperlink r:id="rId10" w:anchor="dst209" w:history="1">
        <w:r w:rsidRPr="003F366E">
          <w:rPr>
            <w:rStyle w:val="a4"/>
            <w:color w:val="1A0DAB"/>
            <w:sz w:val="26"/>
            <w:szCs w:val="26"/>
          </w:rPr>
          <w:t>пункту 4 статьи 4.2</w:t>
        </w:r>
      </w:hyperlink>
      <w:r w:rsidRPr="003F366E">
        <w:rPr>
          <w:color w:val="000000"/>
          <w:sz w:val="26"/>
          <w:szCs w:val="26"/>
        </w:rPr>
        <w:t> Закона N 7-ФЗ присвоение объекту НВОС соответствующей категории осуществляется при его постановке на государственный учет объектов НВОС. Категория объекта НВОС может быть изменена при актуализации учетных сведений об объекте НВОС.</w:t>
      </w:r>
    </w:p>
    <w:p w:rsidR="003F366E" w:rsidRPr="003F366E" w:rsidRDefault="003F366E" w:rsidP="003F366E">
      <w:pPr>
        <w:pStyle w:val="a3"/>
        <w:shd w:val="clear" w:color="auto" w:fill="FFFFFF"/>
        <w:spacing w:before="210" w:beforeAutospacing="0" w:after="0" w:afterAutospacing="0" w:line="360" w:lineRule="atLeast"/>
        <w:ind w:firstLine="540"/>
        <w:jc w:val="both"/>
        <w:rPr>
          <w:color w:val="000000"/>
          <w:sz w:val="26"/>
          <w:szCs w:val="26"/>
        </w:rPr>
      </w:pPr>
      <w:r w:rsidRPr="003F366E">
        <w:rPr>
          <w:color w:val="000000"/>
          <w:sz w:val="26"/>
          <w:szCs w:val="26"/>
        </w:rPr>
        <w:t>Постановка объектов НВОС на государственный учет, а также актуализация учетных сведений об объекте НВОС осуществляется в порядке, определенном </w:t>
      </w:r>
      <w:hyperlink r:id="rId11" w:anchor="dst331" w:history="1">
        <w:r w:rsidRPr="003F366E">
          <w:rPr>
            <w:rStyle w:val="a4"/>
            <w:color w:val="1A0DAB"/>
            <w:sz w:val="26"/>
            <w:szCs w:val="26"/>
          </w:rPr>
          <w:t>статьями 69</w:t>
        </w:r>
      </w:hyperlink>
      <w:r w:rsidRPr="003F366E">
        <w:rPr>
          <w:color w:val="000000"/>
          <w:sz w:val="26"/>
          <w:szCs w:val="26"/>
        </w:rPr>
        <w:t> и </w:t>
      </w:r>
      <w:hyperlink r:id="rId12" w:anchor="dst358" w:history="1">
        <w:r w:rsidRPr="003F366E">
          <w:rPr>
            <w:rStyle w:val="a4"/>
            <w:color w:val="1A0DAB"/>
            <w:sz w:val="26"/>
            <w:szCs w:val="26"/>
          </w:rPr>
          <w:t>69.2</w:t>
        </w:r>
      </w:hyperlink>
      <w:r w:rsidRPr="003F366E">
        <w:rPr>
          <w:color w:val="000000"/>
          <w:sz w:val="26"/>
          <w:szCs w:val="26"/>
        </w:rPr>
        <w:t> Закона N 7-ФЗ и </w:t>
      </w:r>
      <w:hyperlink r:id="rId13" w:anchor="dst100009" w:history="1">
        <w:r w:rsidRPr="003F366E">
          <w:rPr>
            <w:rStyle w:val="a4"/>
            <w:color w:val="1A0DAB"/>
            <w:sz w:val="26"/>
            <w:szCs w:val="26"/>
          </w:rPr>
          <w:t>Правилами</w:t>
        </w:r>
      </w:hyperlink>
      <w:r w:rsidRPr="003F366E">
        <w:rPr>
          <w:color w:val="000000"/>
          <w:sz w:val="26"/>
          <w:szCs w:val="26"/>
        </w:rPr>
        <w:t> создания и ведения государственного реестра объектов НВОС, утвержденными постановлением Правительства Российской Федерации от 23.06.2016 N 572 (далее - Правила).</w:t>
      </w:r>
    </w:p>
    <w:p w:rsidR="003F366E" w:rsidRPr="003F366E" w:rsidRDefault="003F366E" w:rsidP="003F366E">
      <w:pPr>
        <w:pStyle w:val="a3"/>
        <w:shd w:val="clear" w:color="auto" w:fill="FFFFFF"/>
        <w:spacing w:before="210" w:beforeAutospacing="0" w:after="0" w:afterAutospacing="0" w:line="360" w:lineRule="atLeast"/>
        <w:ind w:firstLine="540"/>
        <w:jc w:val="both"/>
        <w:rPr>
          <w:color w:val="000000"/>
          <w:sz w:val="26"/>
          <w:szCs w:val="26"/>
        </w:rPr>
      </w:pPr>
      <w:r w:rsidRPr="003F366E">
        <w:rPr>
          <w:color w:val="000000"/>
          <w:sz w:val="26"/>
          <w:szCs w:val="26"/>
        </w:rPr>
        <w:t>Согласно </w:t>
      </w:r>
      <w:hyperlink r:id="rId14" w:anchor="dst100041" w:history="1">
        <w:r w:rsidRPr="003F366E">
          <w:rPr>
            <w:rStyle w:val="a4"/>
            <w:color w:val="1A0DAB"/>
            <w:sz w:val="26"/>
            <w:szCs w:val="26"/>
          </w:rPr>
          <w:t>пункту 13</w:t>
        </w:r>
      </w:hyperlink>
      <w:r w:rsidRPr="003F366E">
        <w:rPr>
          <w:color w:val="000000"/>
          <w:sz w:val="26"/>
          <w:szCs w:val="26"/>
        </w:rPr>
        <w:t xml:space="preserve"> Правил оператором государственного реестра объектов НВОС является </w:t>
      </w:r>
      <w:proofErr w:type="spellStart"/>
      <w:r w:rsidRPr="003F366E">
        <w:rPr>
          <w:color w:val="000000"/>
          <w:sz w:val="26"/>
          <w:szCs w:val="26"/>
        </w:rPr>
        <w:t>Росприроднадзор</w:t>
      </w:r>
      <w:proofErr w:type="spellEnd"/>
      <w:r w:rsidRPr="003F366E">
        <w:rPr>
          <w:color w:val="000000"/>
          <w:sz w:val="26"/>
          <w:szCs w:val="26"/>
        </w:rPr>
        <w:t>, который в том числе организует информационно-методическое обеспечение ведения органами исполнительной власти субъектов Российской Федерации региональных государственных реестров (включая присвоение объекту категории в зависимости от уровня негативного воздействия на окружающую среду) и их поддержку по техническим вопросам.</w:t>
      </w:r>
    </w:p>
    <w:p w:rsidR="003F366E" w:rsidRPr="003F366E" w:rsidRDefault="003F366E" w:rsidP="003F366E">
      <w:pPr>
        <w:pStyle w:val="a3"/>
        <w:shd w:val="clear" w:color="auto" w:fill="FFFFFF"/>
        <w:spacing w:before="210" w:beforeAutospacing="0" w:after="0" w:afterAutospacing="0" w:line="360" w:lineRule="atLeast"/>
        <w:ind w:firstLine="540"/>
        <w:jc w:val="both"/>
        <w:rPr>
          <w:color w:val="000000"/>
          <w:sz w:val="26"/>
          <w:szCs w:val="26"/>
        </w:rPr>
      </w:pPr>
      <w:r w:rsidRPr="003F366E">
        <w:rPr>
          <w:color w:val="000000"/>
          <w:sz w:val="26"/>
          <w:szCs w:val="26"/>
        </w:rPr>
        <w:t xml:space="preserve">Таким образом, за разъяснениями по конкретным вопросам, связанным с ведением государственного реестра объектов НВОС, в том числе о постановке конкретного объекта НВОС на государственный учет и актуализации учетных сведений об объекте НВОС, полагаем целесообразным обратиться в </w:t>
      </w:r>
      <w:proofErr w:type="spellStart"/>
      <w:r w:rsidRPr="003F366E">
        <w:rPr>
          <w:color w:val="000000"/>
          <w:sz w:val="26"/>
          <w:szCs w:val="26"/>
        </w:rPr>
        <w:t>Росприроднадзор</w:t>
      </w:r>
      <w:proofErr w:type="spellEnd"/>
      <w:r w:rsidRPr="003F366E">
        <w:rPr>
          <w:color w:val="000000"/>
          <w:sz w:val="26"/>
          <w:szCs w:val="26"/>
        </w:rPr>
        <w:t xml:space="preserve"> или уполномоченный орган исполнительной власти соответствующего субъекта</w:t>
      </w:r>
    </w:p>
    <w:p w:rsidR="003F366E" w:rsidRPr="003F366E" w:rsidRDefault="003F366E" w:rsidP="003F366E">
      <w:pPr>
        <w:pStyle w:val="a3"/>
        <w:shd w:val="clear" w:color="auto" w:fill="FFFFFF"/>
        <w:spacing w:before="210" w:beforeAutospacing="0" w:after="0" w:afterAutospacing="0" w:line="360" w:lineRule="atLeast"/>
        <w:ind w:firstLine="540"/>
        <w:jc w:val="both"/>
        <w:rPr>
          <w:color w:val="000000"/>
          <w:sz w:val="26"/>
          <w:szCs w:val="26"/>
        </w:rPr>
      </w:pPr>
      <w:r w:rsidRPr="003F366E">
        <w:rPr>
          <w:color w:val="000000"/>
          <w:sz w:val="26"/>
          <w:szCs w:val="26"/>
        </w:rPr>
        <w:t>При этом необходимо отметить, что </w:t>
      </w:r>
      <w:hyperlink r:id="rId15" w:anchor="dst5687" w:history="1">
        <w:r w:rsidRPr="003F366E">
          <w:rPr>
            <w:rStyle w:val="a4"/>
            <w:color w:val="1A0DAB"/>
            <w:sz w:val="26"/>
            <w:szCs w:val="26"/>
          </w:rPr>
          <w:t>статьей 8.46</w:t>
        </w:r>
      </w:hyperlink>
      <w:r w:rsidRPr="003F366E">
        <w:rPr>
          <w:color w:val="000000"/>
          <w:sz w:val="26"/>
          <w:szCs w:val="26"/>
        </w:rPr>
        <w:t> Кодекса Российской Федерации об административных правонарушениях установлена административная ответственность за невыполнение или несвоевременное выполнение обязанности по подаче заявки на постановку на государственный учет объектов НВОС, представлению сведений для актуализации учетных сведений.</w:t>
      </w:r>
    </w:p>
    <w:p w:rsidR="003F366E" w:rsidRPr="003F366E" w:rsidRDefault="003F366E" w:rsidP="003F366E">
      <w:pPr>
        <w:pStyle w:val="alignright"/>
        <w:shd w:val="clear" w:color="auto" w:fill="FFFFFF"/>
        <w:spacing w:before="0" w:beforeAutospacing="0" w:after="0" w:afterAutospacing="0" w:line="360" w:lineRule="atLeast"/>
        <w:jc w:val="right"/>
        <w:rPr>
          <w:color w:val="000000"/>
          <w:sz w:val="26"/>
          <w:szCs w:val="26"/>
        </w:rPr>
      </w:pPr>
      <w:r w:rsidRPr="003F366E">
        <w:rPr>
          <w:color w:val="000000"/>
          <w:sz w:val="26"/>
          <w:szCs w:val="26"/>
        </w:rPr>
        <w:t>Заместитель директора</w:t>
      </w:r>
    </w:p>
    <w:p w:rsidR="003F366E" w:rsidRPr="003F366E" w:rsidRDefault="003F366E" w:rsidP="003F366E">
      <w:pPr>
        <w:pStyle w:val="alignright"/>
        <w:shd w:val="clear" w:color="auto" w:fill="FFFFFF"/>
        <w:spacing w:before="0" w:beforeAutospacing="0" w:after="0" w:afterAutospacing="0" w:line="360" w:lineRule="atLeast"/>
        <w:jc w:val="right"/>
        <w:rPr>
          <w:color w:val="000000"/>
          <w:sz w:val="26"/>
          <w:szCs w:val="26"/>
        </w:rPr>
      </w:pPr>
      <w:r w:rsidRPr="003F366E">
        <w:rPr>
          <w:color w:val="000000"/>
          <w:sz w:val="26"/>
          <w:szCs w:val="26"/>
        </w:rPr>
        <w:t>Департамента государственной</w:t>
      </w:r>
    </w:p>
    <w:p w:rsidR="003F366E" w:rsidRPr="003F366E" w:rsidRDefault="003F366E" w:rsidP="003F366E">
      <w:pPr>
        <w:pStyle w:val="alignright"/>
        <w:shd w:val="clear" w:color="auto" w:fill="FFFFFF"/>
        <w:spacing w:before="0" w:beforeAutospacing="0" w:after="0" w:afterAutospacing="0" w:line="360" w:lineRule="atLeast"/>
        <w:jc w:val="right"/>
        <w:rPr>
          <w:color w:val="000000"/>
          <w:sz w:val="26"/>
          <w:szCs w:val="26"/>
        </w:rPr>
      </w:pPr>
      <w:r w:rsidRPr="003F366E">
        <w:rPr>
          <w:color w:val="000000"/>
          <w:sz w:val="26"/>
          <w:szCs w:val="26"/>
        </w:rPr>
        <w:t>политики и регулирования</w:t>
      </w:r>
    </w:p>
    <w:p w:rsidR="003F366E" w:rsidRPr="003F366E" w:rsidRDefault="003F366E" w:rsidP="003F366E">
      <w:pPr>
        <w:pStyle w:val="alignright"/>
        <w:shd w:val="clear" w:color="auto" w:fill="FFFFFF"/>
        <w:spacing w:before="0" w:beforeAutospacing="0" w:after="0" w:afterAutospacing="0" w:line="360" w:lineRule="atLeast"/>
        <w:jc w:val="right"/>
        <w:rPr>
          <w:color w:val="000000"/>
          <w:sz w:val="26"/>
          <w:szCs w:val="26"/>
        </w:rPr>
      </w:pPr>
      <w:bookmarkStart w:id="0" w:name="_GoBack"/>
      <w:bookmarkEnd w:id="0"/>
      <w:r w:rsidRPr="003F366E">
        <w:rPr>
          <w:color w:val="000000"/>
          <w:sz w:val="26"/>
          <w:szCs w:val="26"/>
        </w:rPr>
        <w:t>в сфере охраны окружающей среды</w:t>
      </w:r>
    </w:p>
    <w:p w:rsidR="003F366E" w:rsidRPr="003F366E" w:rsidRDefault="003F366E" w:rsidP="003F366E">
      <w:pPr>
        <w:pStyle w:val="alignright"/>
        <w:shd w:val="clear" w:color="auto" w:fill="FFFFFF"/>
        <w:spacing w:before="0" w:beforeAutospacing="0" w:after="0" w:afterAutospacing="0" w:line="360" w:lineRule="atLeast"/>
        <w:jc w:val="right"/>
        <w:rPr>
          <w:color w:val="000000"/>
          <w:sz w:val="26"/>
          <w:szCs w:val="26"/>
        </w:rPr>
      </w:pPr>
      <w:r w:rsidRPr="003F366E">
        <w:rPr>
          <w:color w:val="000000"/>
          <w:sz w:val="26"/>
          <w:szCs w:val="26"/>
        </w:rPr>
        <w:t>и экологической безопасности</w:t>
      </w:r>
    </w:p>
    <w:p w:rsidR="008C7427" w:rsidRDefault="003F366E" w:rsidP="003F366E">
      <w:pPr>
        <w:pStyle w:val="alignright"/>
        <w:shd w:val="clear" w:color="auto" w:fill="FFFFFF"/>
        <w:spacing w:before="0" w:beforeAutospacing="0" w:after="0" w:afterAutospacing="0" w:line="360" w:lineRule="atLeast"/>
        <w:jc w:val="right"/>
      </w:pPr>
      <w:r w:rsidRPr="003F366E">
        <w:rPr>
          <w:color w:val="000000"/>
          <w:sz w:val="26"/>
          <w:szCs w:val="26"/>
        </w:rPr>
        <w:t>О.Б.ЛАТОНОВА</w:t>
      </w:r>
    </w:p>
    <w:sectPr w:rsidR="008C74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66E"/>
    <w:rsid w:val="003F366E"/>
    <w:rsid w:val="008C74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BC117-03C8-48F5-8B95-5A976F9C4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F36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366E"/>
    <w:rPr>
      <w:rFonts w:ascii="Times New Roman" w:eastAsia="Times New Roman" w:hAnsi="Times New Roman" w:cs="Times New Roman"/>
      <w:b/>
      <w:bCs/>
      <w:kern w:val="36"/>
      <w:sz w:val="48"/>
      <w:szCs w:val="48"/>
      <w:lang w:eastAsia="ru-RU"/>
    </w:rPr>
  </w:style>
  <w:style w:type="paragraph" w:customStyle="1" w:styleId="aligncenter">
    <w:name w:val="align_center"/>
    <w:basedOn w:val="a"/>
    <w:rsid w:val="003F36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F36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F366E"/>
    <w:rPr>
      <w:color w:val="0000FF"/>
      <w:u w:val="single"/>
    </w:rPr>
  </w:style>
  <w:style w:type="paragraph" w:customStyle="1" w:styleId="alignright">
    <w:name w:val="align_right"/>
    <w:basedOn w:val="a"/>
    <w:rsid w:val="003F366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840255">
      <w:bodyDiv w:val="1"/>
      <w:marLeft w:val="0"/>
      <w:marRight w:val="0"/>
      <w:marTop w:val="0"/>
      <w:marBottom w:val="0"/>
      <w:divBdr>
        <w:top w:val="none" w:sz="0" w:space="0" w:color="auto"/>
        <w:left w:val="none" w:sz="0" w:space="0" w:color="auto"/>
        <w:bottom w:val="none" w:sz="0" w:space="0" w:color="auto"/>
        <w:right w:val="none" w:sz="0" w:space="0" w:color="auto"/>
      </w:divBdr>
      <w:divsChild>
        <w:div w:id="1918778837">
          <w:marLeft w:val="0"/>
          <w:marRight w:val="0"/>
          <w:marTop w:val="0"/>
          <w:marBottom w:val="240"/>
          <w:divBdr>
            <w:top w:val="none" w:sz="0" w:space="0" w:color="auto"/>
            <w:left w:val="none" w:sz="0" w:space="0" w:color="auto"/>
            <w:bottom w:val="none" w:sz="0" w:space="0" w:color="auto"/>
            <w:right w:val="none" w:sz="0" w:space="0" w:color="auto"/>
          </w:divBdr>
        </w:div>
      </w:divsChild>
    </w:div>
    <w:div w:id="750926295">
      <w:bodyDiv w:val="1"/>
      <w:marLeft w:val="0"/>
      <w:marRight w:val="0"/>
      <w:marTop w:val="0"/>
      <w:marBottom w:val="0"/>
      <w:divBdr>
        <w:top w:val="none" w:sz="0" w:space="0" w:color="auto"/>
        <w:left w:val="none" w:sz="0" w:space="0" w:color="auto"/>
        <w:bottom w:val="none" w:sz="0" w:space="0" w:color="auto"/>
        <w:right w:val="none" w:sz="0" w:space="0" w:color="auto"/>
      </w:divBdr>
      <w:divsChild>
        <w:div w:id="1441996219">
          <w:marLeft w:val="0"/>
          <w:marRight w:val="0"/>
          <w:marTop w:val="0"/>
          <w:marBottom w:val="240"/>
          <w:divBdr>
            <w:top w:val="none" w:sz="0" w:space="0" w:color="auto"/>
            <w:left w:val="none" w:sz="0" w:space="0" w:color="auto"/>
            <w:bottom w:val="none" w:sz="0" w:space="0" w:color="auto"/>
            <w:right w:val="none" w:sz="0" w:space="0" w:color="auto"/>
          </w:divBdr>
        </w:div>
        <w:div w:id="780612132">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97476/1ff43cb0bd1ee2675d4baa30fce1b5a23f302037/" TargetMode="External"/><Relationship Id="rId13" Type="http://schemas.openxmlformats.org/officeDocument/2006/relationships/hyperlink" Target="http://www.consultant.ru/document/cons_doc_LAW_200161/00de1c265f0e0b5dc40d335e49d0213eccac45af/" TargetMode="External"/><Relationship Id="rId3" Type="http://schemas.openxmlformats.org/officeDocument/2006/relationships/webSettings" Target="webSettings.xml"/><Relationship Id="rId7" Type="http://schemas.openxmlformats.org/officeDocument/2006/relationships/hyperlink" Target="http://www.consultant.ru/document/cons_doc_LAW_397476/1ff43cb0bd1ee2675d4baa30fce1b5a23f302037/" TargetMode="External"/><Relationship Id="rId12" Type="http://schemas.openxmlformats.org/officeDocument/2006/relationships/hyperlink" Target="http://www.consultant.ru/document/cons_doc_LAW_412727/2d89ec4656dae13af7fd76b8d703b0fe71a3bceb/"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onsultant.ru/document/cons_doc_LAW_397476/d6b27ecf1250d88161a5d3c9d1a8e3f4f8fb5ac5/" TargetMode="External"/><Relationship Id="rId11" Type="http://schemas.openxmlformats.org/officeDocument/2006/relationships/hyperlink" Target="http://www.consultant.ru/document/cons_doc_LAW_412727/d65d73d7b38868424f4022d39a0515bf9a79046d/" TargetMode="External"/><Relationship Id="rId5" Type="http://schemas.openxmlformats.org/officeDocument/2006/relationships/hyperlink" Target="http://www.consultant.ru/document/cons_doc_LAW_397476/f3283de552d9f3d8bf266c1ca3299b216cbda6ff/" TargetMode="External"/><Relationship Id="rId15" Type="http://schemas.openxmlformats.org/officeDocument/2006/relationships/hyperlink" Target="http://www.consultant.ru/document/cons_doc_LAW_412850/e63cbcbd39624c02a534c2f2ac85e89a4844e045/" TargetMode="External"/><Relationship Id="rId10" Type="http://schemas.openxmlformats.org/officeDocument/2006/relationships/hyperlink" Target="http://www.consultant.ru/document/cons_doc_LAW_412727/a646b4197509ac4f8583b190e3b018fc27f3ae35/" TargetMode="External"/><Relationship Id="rId4" Type="http://schemas.openxmlformats.org/officeDocument/2006/relationships/hyperlink" Target="http://www.consultant.ru/document/cons_doc_LAW_412727/bb9e97fad9d14ac66df4b6e67c453d1be3b77b4c/" TargetMode="External"/><Relationship Id="rId9" Type="http://schemas.openxmlformats.org/officeDocument/2006/relationships/hyperlink" Target="http://www.consultant.ru/document/cons_doc_LAW_412727/" TargetMode="External"/><Relationship Id="rId14" Type="http://schemas.openxmlformats.org/officeDocument/2006/relationships/hyperlink" Target="http://www.consultant.ru/document/cons_doc_LAW_200161/00de1c265f0e0b5dc40d335e49d0213eccac45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854</Words>
  <Characters>4872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2022-04-09T04:10:00Z</dcterms:created>
  <dcterms:modified xsi:type="dcterms:W3CDTF">2022-04-09T04:12:00Z</dcterms:modified>
</cp:coreProperties>
</file>