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74" w:rsidRPr="00160574" w:rsidRDefault="00160574" w:rsidP="001605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6057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Наиболее распространенные причины, препятствующие осуществлению государственного кадастрового учета объектов капитального строительства, расположенных на территории более одного кадастрового округа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Управлением государственной регистрации прав и выдачи информации Росреестра совместно с ФГБУ «ФКП Росреестра» проведен анализ решений о приостановлении осуществления государственного кадастрового учета за период с января по апрель 2017 года.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Согласно выявленным данным наиболее распространенной причиной, препятствующей осуществлению государственного кадастрового учета, является некачественная работа кадастрового инженера в части исполнения законодательства и требований, касающихся подготовки документов, необходимых для государственного кадастрового учета объектов капитального строительства, расположенных на территории более одного кадастрового округа.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Как представляется, основная масса ошибок, допущенных при подготовке технических планов сооружений, обусловлена особенностями объектов капитального строительства, расположенных на территории более одного кадастрового округа.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74">
        <w:rPr>
          <w:rFonts w:ascii="Times New Roman" w:eastAsia="Times New Roman" w:hAnsi="Times New Roman" w:cs="Times New Roman"/>
          <w:sz w:val="28"/>
          <w:szCs w:val="28"/>
        </w:rPr>
        <w:t>Ниже приведены наиболее распространенные ошибки, допускаемые кадастровыми инженерами при подготовке технических планов: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Исходя из содержания пункта 42 Требований к подготовке технического плана сооружения и составу содержащихся в нем сведений, утвержденных приказом Минэкономразвития России от 18.12.2015 № 953 (далее – Требования), в раздел «Характеристики объекта недвижимости» включаются, в том числе, сведения о кадастровом номере земельного участка (земельных участков), на котором (которых, под которым, которыми) расположено сооружение.</w:t>
      </w:r>
      <w:proofErr w:type="gramEnd"/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В случае подготовки технического плана линейного сооружения указываются сведения в отношении всего линейного сооружения и в отношении каждой условной части линейного сооружения (номер кадастрового округа, кадастровый номер земельного участка (земельных участков), в пределах которого (которых) расположена условная часть линейного сооружения). Указанное правило также применяется в отношении линейного сооружения, строительство которого не завершено.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Если здание, сооружение, объект незавершенного строительства, единый недвижимый комплекс расположены на нескольких земельных участках и при этом сведения о некоторых земельных участках отсутствуют в Едином государственном реестре недвижимости (далее – ЕГРН), то в графе «3» строки «4» раздела «Характеристики объекта недвижимости» указываются через запятую кадастровые номера земельных участков, а в графе «3» строки «5» раздела «Характеристики объекта недвижимости» номера кадастровых кварталов</w:t>
      </w:r>
      <w:proofErr w:type="gram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которых расположено сооружение.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При этом технические планы (XML-схема формата GKULPART) подготавливаются без запроса актуальности сведений ЕГРН и, как следствие, в технических планах могут быть указаны «Архивные» кадастровые номера земельных участков, на которых расположен объект капитального строительства.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при проверке в «Личном кабинете кадастрового инженера» на портале Росреестра земельные участки, которым присвоен статус «Архивный», могут </w:t>
      </w:r>
      <w:r w:rsidRPr="00160574">
        <w:rPr>
          <w:rFonts w:ascii="Times New Roman" w:eastAsia="Times New Roman" w:hAnsi="Times New Roman" w:cs="Times New Roman"/>
          <w:sz w:val="28"/>
          <w:szCs w:val="28"/>
        </w:rPr>
        <w:lastRenderedPageBreak/>
        <w:t>отображаться как «Актуальные», что также может быть причиной ошибок кадастровых инженеров при подготовке технических планов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2. В соответствии с пунктом 52 Требований для оформления графической части технического плана применяются специальные условные знаки в соответствии с Приложением к Требованиям.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Указанное Приложение содержит исчерпывающее описание специальных условных знаков.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В нарушение указанных требований при подготовке графической части технического плана (Схема расположения сооружения на земельном участке, чертеж) специальные условные знаки кадастровыми инженерами не соблюдаются.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Так, например, контур образованного проекцией вновь образованного надземного конструктивного элемента сооружения изображается штрихпунктирной линией красного цвета толщиной 0,2 мм, длиной штриха 2 мм, интервалом между штрихами и пунктирами 1 мм (подпункт «г» пункта 4 Приложения).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При этом кадастровый инженер при подготовке графической части представленного технического плана (в части отображения контура сооружения) обозначает контур образованного проекцией вновь образованного надземного конструктивного элемента сооружения сплошной линией черного цвета.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3. В соответствии с абзацем 7 пункта 21 Требований 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в формате PDF формируется в виде одного файла. Для сканирования документов необходимо использовать </w:t>
      </w:r>
      <w:proofErr w:type="spellStart"/>
      <w:r w:rsidRPr="00160574">
        <w:rPr>
          <w:rFonts w:ascii="Times New Roman" w:eastAsia="Times New Roman" w:hAnsi="Times New Roman" w:cs="Times New Roman"/>
          <w:sz w:val="28"/>
          <w:szCs w:val="28"/>
        </w:rPr>
        <w:t>полноцветный</w:t>
      </w:r>
      <w:proofErr w:type="spell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режим с разрешением 300 </w:t>
      </w:r>
      <w:proofErr w:type="spellStart"/>
      <w:r w:rsidRPr="00160574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. Документы в формате JPEG должны быть выполнены в 24-битном цветовом пространстве. Разрешение изображения не должно быть меньше 250 </w:t>
      </w:r>
      <w:proofErr w:type="spellStart"/>
      <w:r w:rsidRPr="00160574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и больше 450 </w:t>
      </w:r>
      <w:proofErr w:type="spellStart"/>
      <w:r w:rsidRPr="00160574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160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При этом электронные образы документов, приложенных к техническим планам, как правило, не соответствуют вышеуказанным требованиям.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4. Технические планы сооружений подготавливаются с нарушением требований приказа Росреестра от 25.06.2015 № </w:t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/338 «Об организации работ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XML-схем, необходимых для представления в орган кадастрового учета заявления о кадастровом учете и необходимых для кадастрового учета документов, в виде технического плана здания, сооружения, объекта незавершенного строительства, помещения в форме электронных документов» (далее – Приказ </w:t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0574">
        <w:rPr>
          <w:rFonts w:ascii="Times New Roman" w:eastAsia="Times New Roman" w:hAnsi="Times New Roman" w:cs="Times New Roman"/>
          <w:sz w:val="28"/>
          <w:szCs w:val="28"/>
        </w:rPr>
        <w:t>/338).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Так, согласно абзацу 3 пункта 1 Приказа </w:t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0574">
        <w:rPr>
          <w:rFonts w:ascii="Times New Roman" w:eastAsia="Times New Roman" w:hAnsi="Times New Roman" w:cs="Times New Roman"/>
          <w:sz w:val="28"/>
          <w:szCs w:val="28"/>
        </w:rPr>
        <w:t>/338 технический план линейного сооружения, расположенного на территории более одного кадастрового округа в форме электронного документа (XML-документ) подготавливается с использованием XML-схемы, необходимой для формирования XML-документа (приложение № 2).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74">
        <w:rPr>
          <w:rFonts w:ascii="Times New Roman" w:eastAsia="Times New Roman" w:hAnsi="Times New Roman" w:cs="Times New Roman"/>
          <w:sz w:val="28"/>
          <w:szCs w:val="28"/>
        </w:rPr>
        <w:t>Поле &lt;</w:t>
      </w:r>
      <w:proofErr w:type="spellStart"/>
      <w:r w:rsidRPr="00160574">
        <w:rPr>
          <w:rFonts w:ascii="Times New Roman" w:eastAsia="Times New Roman" w:hAnsi="Times New Roman" w:cs="Times New Roman"/>
          <w:sz w:val="28"/>
          <w:szCs w:val="28"/>
        </w:rPr>
        <w:t>CadastralNumber</w:t>
      </w:r>
      <w:proofErr w:type="spellEnd"/>
      <w:r w:rsidRPr="00160574">
        <w:rPr>
          <w:rFonts w:ascii="Times New Roman" w:eastAsia="Times New Roman" w:hAnsi="Times New Roman" w:cs="Times New Roman"/>
          <w:sz w:val="28"/>
          <w:szCs w:val="28"/>
        </w:rPr>
        <w:t>&gt; (Кадастровый номер линейного сооружения) для линейного сооружения, расположенного на территории более одного кадастрового округа (в ветках /</w:t>
      </w:r>
      <w:proofErr w:type="spellStart"/>
      <w:r w:rsidRPr="00160574">
        <w:rPr>
          <w:rFonts w:ascii="Times New Roman" w:eastAsia="Times New Roman" w:hAnsi="Times New Roman" w:cs="Times New Roman"/>
          <w:sz w:val="28"/>
          <w:szCs w:val="28"/>
        </w:rPr>
        <w:t>ExistLinearConstruction</w:t>
      </w:r>
      <w:proofErr w:type="spellEnd"/>
      <w:r w:rsidRPr="0016057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60574">
        <w:rPr>
          <w:rFonts w:ascii="Times New Roman" w:eastAsia="Times New Roman" w:hAnsi="Times New Roman" w:cs="Times New Roman"/>
          <w:sz w:val="28"/>
          <w:szCs w:val="28"/>
        </w:rPr>
        <w:t>ExistAllLinear</w:t>
      </w:r>
      <w:proofErr w:type="spellEnd"/>
      <w:r w:rsidRPr="00160574">
        <w:rPr>
          <w:rFonts w:ascii="Times New Roman" w:eastAsia="Times New Roman" w:hAnsi="Times New Roman" w:cs="Times New Roman"/>
          <w:sz w:val="28"/>
          <w:szCs w:val="28"/>
        </w:rPr>
        <w:t>/@</w:t>
      </w:r>
      <w:proofErr w:type="spellStart"/>
      <w:r w:rsidRPr="00160574">
        <w:rPr>
          <w:rFonts w:ascii="Times New Roman" w:eastAsia="Times New Roman" w:hAnsi="Times New Roman" w:cs="Times New Roman"/>
          <w:sz w:val="28"/>
          <w:szCs w:val="28"/>
        </w:rPr>
        <w:t>CadastralNumber</w:t>
      </w:r>
      <w:proofErr w:type="spell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и /</w:t>
      </w:r>
      <w:proofErr w:type="spellStart"/>
      <w:r w:rsidRPr="00160574">
        <w:rPr>
          <w:rFonts w:ascii="Times New Roman" w:eastAsia="Times New Roman" w:hAnsi="Times New Roman" w:cs="Times New Roman"/>
          <w:sz w:val="28"/>
          <w:szCs w:val="28"/>
        </w:rPr>
        <w:t>ExistLinearConstruction</w:t>
      </w:r>
      <w:proofErr w:type="spellEnd"/>
      <w:r w:rsidRPr="0016057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60574">
        <w:rPr>
          <w:rFonts w:ascii="Times New Roman" w:eastAsia="Times New Roman" w:hAnsi="Times New Roman" w:cs="Times New Roman"/>
          <w:sz w:val="28"/>
          <w:szCs w:val="28"/>
        </w:rPr>
        <w:t>ExistConditionalPart</w:t>
      </w:r>
      <w:proofErr w:type="spellEnd"/>
      <w:r w:rsidRPr="00160574">
        <w:rPr>
          <w:rFonts w:ascii="Times New Roman" w:eastAsia="Times New Roman" w:hAnsi="Times New Roman" w:cs="Times New Roman"/>
          <w:sz w:val="28"/>
          <w:szCs w:val="28"/>
        </w:rPr>
        <w:t>/@</w:t>
      </w:r>
      <w:proofErr w:type="spellStart"/>
      <w:r w:rsidRPr="00160574">
        <w:rPr>
          <w:rFonts w:ascii="Times New Roman" w:eastAsia="Times New Roman" w:hAnsi="Times New Roman" w:cs="Times New Roman"/>
          <w:sz w:val="28"/>
          <w:szCs w:val="28"/>
        </w:rPr>
        <w:t>CadastralNumber</w:t>
      </w:r>
      <w:proofErr w:type="spell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), заполняется по установленному шаблону для кадастрового номера линейного сооружения, где части </w:t>
      </w:r>
      <w:r w:rsidRPr="001605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кадастрового номера, соответствующие номеру кадастрового округа, номеру кадастрового района, номеру кадастрового квартала, - строго нули, разделенные двоеточиями 0:0:0: (пункт 4.2 Приказа </w:t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0574">
        <w:rPr>
          <w:rFonts w:ascii="Times New Roman" w:eastAsia="Times New Roman" w:hAnsi="Times New Roman" w:cs="Times New Roman"/>
          <w:sz w:val="28"/>
          <w:szCs w:val="28"/>
        </w:rPr>
        <w:t>/338).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Однако зачастую в XML-файлах формата </w:t>
      </w:r>
      <w:r w:rsidRPr="00160574">
        <w:rPr>
          <w:rFonts w:ascii="Times New Roman" w:eastAsia="Times New Roman" w:hAnsi="Times New Roman" w:cs="Times New Roman"/>
          <w:sz w:val="28"/>
          <w:szCs w:val="28"/>
          <w:lang w:val="en-US"/>
        </w:rPr>
        <w:t>GKULOKS</w:t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кадастровый квартал «00:00:0000000».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Также в вышеуказанных файлах указываются кадастровые номера кадастровых кварталов и земельных участков, сведения о которых отсутствуют в кадастровом округе «Общероссийский».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Сведения о кадастровых номерах земельных участков (на которых, под которыми расположено сооружение) должны содержаться в XML-файлах формата GKULPART.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5. По общему правилу, адрес сооружения указывается в структурированном в соответствии с федеральной информационной адресной системой (ФИАС) виде на основании сведений, предоставленных оператором информационной адресной системы, осуществляющим ведение государственного адресного реестра (подпункт 7 пункта 43 Требований).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4" w:history="1">
        <w:r w:rsidRPr="0016057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строке</w:t>
        </w:r>
      </w:hyperlink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«Дополнение местоположения объекта недвижимости» указываются сведения о местоположении здания, сооружения, помещения, объекта незавершенного строительства, в случае если оно не указано в структурированном в соответствии с ФИАС виде.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Вместе с тем в отношении линейного сооружения, а также линейного сооружения, незавершенного строительством, указывается наименование субъектов Российской Федерации, муниципальных образований, населенных пунктов, на территории которых располагается такое линейное сооружение.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Однако зачастую местоположение сооружения, расположенного на территории более одного кадастрового округа указывается в отношении одного субъекта Российской Федерации. Либо указывается только наименование субъектов Российской Федерации. При этом сведения о муниципальных образованиях, населенных пунктах отсутствуют.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Исходя из содержания пунктов 42, 43 Требований</w:t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технический план подготовлен в результате выполнения кадастровых работ в связи с изменением сведений ЕГРН об объекте недвижимости, заполнению подлежат строки раздела «Характеристики объекта недвижимости», содержащие </w:t>
      </w:r>
      <w:r w:rsidRPr="00160574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 значения</w:t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характеристик объекта недвижимости, подлежащие внесению в ЕГРН, а также сведения о виде объекта недвижимости, кадастровом номере объекта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недвижимости (строка </w:t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1) и ранее</w:t>
      </w:r>
      <w:proofErr w:type="gram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присвоенном государственном учетном номере (указывается кадастровый, инвентарный или условный номер, если такой номер был присвоен в установленном законодательством Российской Федерации порядке органом, уполномоченным на присвоение такого номера), дате присвоения соответствующего номера, а также сведения о присвоившем такой номер органе (организации) (строка 2).</w:t>
      </w:r>
      <w:proofErr w:type="gramEnd"/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При этом остальные строки раздела «Характеристики сооружения» заполнению </w:t>
      </w:r>
      <w:r w:rsidRPr="00160574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подлежат</w:t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В частности, если изменению подлежит наименование сооружения, то при подготовке технического плана заполнению подлежат только строки 1, 2 и 9 раздела «Характеристики объекта недвижимости».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В нарушение указанных Требований кадастровые инженеры заполняют все строки раздела «Характеристики объекта недвижимости», хотя не все из указанных в них сведений подлежат заполнению.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7. Основанием для осуществления государственного кадастрового учета </w:t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gram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технический план сооружения, требования к форме и содержанию которого утверждены органом нормативно - правового регулирования в сфере государственного кадастрового учета и государственной регистрации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 (подпункт </w:t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7 части 2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татьи 14 Федерального закона от 13.07.2015 № </w:t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218-ФЗ «О государственной регистрации недвижимости» (далее – Закон).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Исходя из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держания частей 8, 9, 11 статьи </w:t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24 Закона, а также пункта 20 Требований, основанием для внесения сведений в технический план линейного сооружения, в том </w:t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которого не завершено, могут быть следующие документы: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74">
        <w:rPr>
          <w:rFonts w:ascii="Times New Roman" w:eastAsia="Times New Roman" w:hAnsi="Times New Roman" w:cs="Times New Roman"/>
          <w:sz w:val="28"/>
          <w:szCs w:val="28"/>
        </w:rPr>
        <w:t>- проектная документация (для сооружения);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74">
        <w:rPr>
          <w:rFonts w:ascii="Times New Roman" w:eastAsia="Times New Roman" w:hAnsi="Times New Roman" w:cs="Times New Roman"/>
          <w:sz w:val="28"/>
          <w:szCs w:val="28"/>
        </w:rPr>
        <w:t>- декларация об объекте недвижимости;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74">
        <w:rPr>
          <w:rFonts w:ascii="Times New Roman" w:eastAsia="Times New Roman" w:hAnsi="Times New Roman" w:cs="Times New Roman"/>
          <w:sz w:val="28"/>
          <w:szCs w:val="28"/>
        </w:rPr>
        <w:t>декларация об объекте недвижимости, предусмотренная частью 5 статьи 70 Закона;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74">
        <w:rPr>
          <w:rFonts w:ascii="Times New Roman" w:eastAsia="Times New Roman" w:hAnsi="Times New Roman" w:cs="Times New Roman"/>
          <w:sz w:val="28"/>
          <w:szCs w:val="28"/>
        </w:rPr>
        <w:t>- разрешение на ввод объекта в эксплуатацию (если на момент принятия решения о вводе объекта в эксплуатацию для принятия указанного решения законодательством Российской Федерации о градостроительной деятельности не предусматривалось представление технического плана объекта недвижимости);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74">
        <w:rPr>
          <w:rFonts w:ascii="Times New Roman" w:eastAsia="Times New Roman" w:hAnsi="Times New Roman" w:cs="Times New Roman"/>
          <w:sz w:val="28"/>
          <w:szCs w:val="28"/>
        </w:rPr>
        <w:t>- технический паспорт объекта недвижимости, изготовленный до 1 января 2013 г.;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 приемке в эксплуатацию</w:t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недвижимости, утвержденный в установленном федеральным законом порядке;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проектная документация сооружения и документ, подтверждающий техническую приемку объекта в эксплуатацию, если разработка проектной документации и такая приемка предусмотрены законодательством Российской Федерации (если для строительства, реконструкции сооружения в соответствии с законодательством Российской Федерации не требуется выдачи разрешения на его строительство, реконструкцию и в соответствии с земельным законодательством Российской Федерации допускается размещение такого сооружения на землях, находящихся в государственной или муниципальной</w:t>
      </w:r>
      <w:proofErr w:type="gram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без предоставления земельного участка или установления сервитута);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- исполнительная документация (для осуществления измерений, необходимых для определения местоположения соответствующего объекта недвижимости на земельном участке при отсутствии на момент </w:t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выполнения кадастровых работ возможности визуального осмотра подземных конструктивных э</w:t>
      </w:r>
      <w:r>
        <w:rPr>
          <w:rFonts w:ascii="Times New Roman" w:eastAsia="Times New Roman" w:hAnsi="Times New Roman" w:cs="Times New Roman"/>
          <w:sz w:val="28"/>
          <w:szCs w:val="28"/>
        </w:rPr>
        <w:t>лементов объекта недвижимости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74">
        <w:rPr>
          <w:rFonts w:ascii="Times New Roman" w:eastAsia="Times New Roman" w:hAnsi="Times New Roman" w:cs="Times New Roman"/>
          <w:sz w:val="28"/>
          <w:szCs w:val="28"/>
        </w:rPr>
        <w:t>- разрешение на строительство (для объекта незавершенного строительства);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74"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объектов культурного наследия (для объекта недвижимости, являющегося объектом культурного наследия).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Таким образом, характеристики объектов недвижимости вносятся в технический план на основании вышеуказанных документов. Одновременно в состав Приложения к техническому плану включаются копии тех документов, которые содержат включенные в состав технического плана сведения.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Если для подготовки технического плана использовались иные документы, предусмотренные федеральными законами, их копии также включаются в состав Приложения.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нарушение указанных требований документы, на </w:t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160574">
        <w:rPr>
          <w:rFonts w:ascii="Times New Roman" w:eastAsia="Times New Roman" w:hAnsi="Times New Roman" w:cs="Times New Roman"/>
          <w:sz w:val="28"/>
          <w:szCs w:val="28"/>
        </w:rPr>
        <w:t xml:space="preserve"> которых подготовлен технический план, не включаются в состав приложения к техническому плану либо включаются не в полном объеме.</w:t>
      </w:r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60574">
        <w:rPr>
          <w:rFonts w:ascii="Times New Roman" w:eastAsia="Times New Roman" w:hAnsi="Times New Roman" w:cs="Times New Roman"/>
          <w:sz w:val="28"/>
          <w:szCs w:val="28"/>
        </w:rPr>
        <w:t>Также выявлены случаи, когда документы, на основании которых подготовлен технический план, не подтверждают сведения, указанные в техническом плане в разделе «Характеристики сооружения», или сведения об объекте недвижимости в представленной проектной документации отсутствуют.</w:t>
      </w:r>
      <w:proofErr w:type="gramEnd"/>
    </w:p>
    <w:p w:rsidR="00160574" w:rsidRPr="00160574" w:rsidRDefault="00160574" w:rsidP="001605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0574">
        <w:rPr>
          <w:rFonts w:ascii="Times New Roman" w:eastAsia="Times New Roman" w:hAnsi="Times New Roman" w:cs="Times New Roman"/>
          <w:sz w:val="28"/>
          <w:szCs w:val="28"/>
        </w:rPr>
        <w:t>Так, например, в техническом плане содержатся сведения о протяженности, не соответствующие сведениям, отраженным в вышеуказанных документах, или сведения о данной характеристике в проектной документации отсутствуют.</w:t>
      </w:r>
    </w:p>
    <w:sectPr w:rsidR="00160574" w:rsidRPr="00160574" w:rsidSect="00160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0574"/>
    <w:rsid w:val="0016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60574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160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050550B2EA262119AF474F52666206BF9E7477C070688A0054D2B7E25D901B4FC08127F57FAAA5aD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1963</Words>
  <Characters>11195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vas</cp:lastModifiedBy>
  <cp:revision>2</cp:revision>
  <dcterms:created xsi:type="dcterms:W3CDTF">2017-09-11T23:34:00Z</dcterms:created>
  <dcterms:modified xsi:type="dcterms:W3CDTF">2017-09-11T23:39:00Z</dcterms:modified>
</cp:coreProperties>
</file>