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Приложение № 4</w:t>
      </w:r>
      <w:r>
        <w:rPr>
          <w:rFonts w:ascii="Tinos" w:hAnsi="Tinos" w:cs="Tinos"/>
          <w:sz w:val="28"/>
          <w:szCs w:val="28"/>
        </w:rPr>
      </w:r>
    </w:p>
    <w:p>
      <w:pPr>
        <w:pStyle w:val="622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О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необходимости указания в карте-плане территории, межевом плане, техническом плане сведений об адресе объекта недвижимости (если такой объект является объектом адресации), включающие уникальный номер адреса объекта адресации в государственном адресном реес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тре (уникальный идентификатор адреса).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С 0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1.02.2026 вступил в силу приказ Росреестра от 23.10.2024 </w:t>
        <w:br/>
        <w:t xml:space="preserve">№ П/0328/24 «О внесении изменений в приказы Федеральной службы государственной регистрации, кадастра и картографии от 4 августа 2021 года № П/0337, от 14 декабря 2021 года № П/0592 и от 15 марта 2022 года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             № П/0082»,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highlight w:val="none"/>
        </w:rPr>
        <w:t xml:space="preserve">согласно которому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в карте-плане территории, межевом плане, техническом плане указываются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: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 </w:t>
        <w:tab/>
        <w:t xml:space="preserve">- 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с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ведения об адресе объекта недвижимости (если такой объект является объектом адресации), включающие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уникальный номер адреса объекта адресации в государственном адресном реестре (уникальный идентификатор адреса)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  <w:t xml:space="preserve">;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- сведения об ином месте нахождения объекта недвижимости, не являющегося объектом адресации.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Т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аким образом, обеспечивается присвоение адреса объекту адресации при выполнении кадастровых (комплексных кадастровых) работ и внесение соответствующих сведений в государственный адресный реестр (если такой адрес ранее не был присвоен в установленном порядк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е).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В соответствии с пунктом 5 Правил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 (далее – Правила присвоения адресов),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  <w:highlight w:val="none"/>
        </w:rPr>
        <w:t xml:space="preserve">объектом адресации являются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: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а) здание (строение, за исключением некапитального строения), в том числе строительство которого не завершено;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б) сооружение (за исключением некапитального сооружения и линейного объекта), в том числе строительство которого не завершено;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г) помещение, являющееся частью объекта капитального строительства;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  <w:t xml:space="preserve">д) машино-место (за исключением машино-места, являющегося частью некапитального здания или сооружения).</w:t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cs="Tinos"/>
          <w:i w:val="0"/>
          <w:iCs w:val="0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Действующий порядок присвоения уполномоченными органами адресов объектам недвижимости, являющимся объектами адресации,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установлен  Правилами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присвоения адресов (в том числе по обращениям кадастровых инженеров, направляемым в соответствии с пунктом 29 Правил присвоения адресов).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Приказом Росреестра от 23.10.2024 № П/0328/24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«О внесении изменений в приказы Федеральной службы государственной регистрации, кадастра и картографии от 4 августа 2021года № П/0337, от 14 декабря 2021 года №П/0592 и от 15 марта 2022 года № П/0082» (далее – Приказ) он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не изменялся, Приказ всего лишь упорядочил вопрос внесения сведений об адресе в ЕГРН с целью синхронизации данных с государственным адресным реестром                (далее - ГАР).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  <w:lang w:eastAsia="ru-RU"/>
        </w:rPr>
        <w:t xml:space="preserve">Таким образом, </w:t>
      </w:r>
      <w:r>
        <w:rPr>
          <w:rFonts w:ascii="Tinos" w:hAnsi="Tinos" w:eastAsia="Tinos" w:cs="Tinos"/>
          <w:i w:val="0"/>
          <w:iCs w:val="0"/>
          <w:sz w:val="28"/>
          <w:szCs w:val="28"/>
          <w:lang w:eastAsia="ru-RU"/>
        </w:rPr>
        <w:t xml:space="preserve">порядок присвоения адресов объектам недвижимости, являющимся объектами адресации, определяется Правилами присвоения адресов и не регулируется Приказом.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Так, случаи присвоения объекту адресации адреса при выполнении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br/>
        <w:t xml:space="preserve">кадастровых работ в отношении соответствующего объекта недвижимости (подготовки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документов, содержащих необходимые для осуществления государственного кадастрового учета сведения о таком объекте недвижимости)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установлены пунктом 8 Правил присвоения адресов: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абзацем третьим подпункта «а» в отношении земельных участков; 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абзацем третьим подпункта «б» в отношении зданий (строен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ий) и сооружений, в том числе строительство которых не завершено – в случае,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требуется; 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абзацем третьим подпункта «в» в отношении помещений, в том числе образуемых в результате преобразования другого помещения (помещений) и (или)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машино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-места (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машино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-мест);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подпунктом «г» в отношении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машино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-мест, в том числе образуемых в результате преобразования другого помещения (помещений) и (или)           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машино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-места (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машино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-мест).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Возможность обращения кадастрового инженера, выполняющего на основании документа, предусмотрен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ного статьей 35 или статьей 42.3 Федерального закона от 24.07.2007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адресации, с заявлением </w:t>
      </w:r>
      <w:r>
        <w:rPr>
          <w:rFonts w:ascii="Tinos" w:hAnsi="Tinos" w:eastAsia="Tinos" w:cs="Tinos"/>
          <w:bCs/>
          <w:i w:val="0"/>
          <w:iCs w:val="0"/>
          <w:color w:val="000000"/>
          <w:sz w:val="28"/>
          <w:szCs w:val="28"/>
          <w:lang w:eastAsia="ru-RU"/>
        </w:rPr>
        <w:t xml:space="preserve">о присвоении объекту адресации адреса или об аннулировании его адреса, предусмотрена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абзацем четвертым пункта 29 Правил присвоения адресов.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При этом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разъяснения по вопросам применения Правил присвоения адресов дает Министерство финансов Российской Федерации с участием </w:t>
      </w:r>
      <w:r>
        <w:rPr>
          <w:rFonts w:ascii="Tinos" w:hAnsi="Tinos" w:eastAsia="Tinos" w:cs="Tinos"/>
          <w:i w:val="0"/>
          <w:iCs w:val="0"/>
          <w:sz w:val="28"/>
          <w:szCs w:val="28"/>
          <w:shd w:val="clear" w:color="auto" w:fill="ffffff"/>
        </w:rPr>
        <w:t xml:space="preserve">Федеральной налоговой службы </w:t>
      </w:r>
      <w:r>
        <w:rPr>
          <w:rFonts w:ascii="Tinos" w:hAnsi="Tinos" w:eastAsia="Tinos" w:cs="Tinos"/>
          <w:i w:val="0"/>
          <w:iCs w:val="0"/>
          <w:sz w:val="28"/>
          <w:szCs w:val="28"/>
          <w:shd w:val="clear" w:color="auto" w:fill="ffffff"/>
        </w:rPr>
        <w:t xml:space="preserve">(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пункт 2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постановления Правительства Российской Федерации от 19.11.2014 № 1221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).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Кроме того, Минфин России определен федеральным органом исполнительной власти, осуществляющим нормативно-правовое регулирование в области отношений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, возникающих в связи с ведением государственного адресного реестра, эксплуатацией федеральной информационной адресной системы (далее – ФИАС), а также с использованием содержащихся в государственном адресном реестре сведений об адресах, оператором ФИАС опр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еделена Федеральная налоговая служба (постановление Правительства Российской Федерации от 29.04.2014 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системы»).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С учетом изложенного,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разъяснение вопросов (проблем) применения Правил присвоения адресов, в том числе относительно возможности (невозможности) присвоения адресов, порядка и особенностей их присвоения, изменения и аннулирования относится к компетенции Минфина России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. 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Так,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Минфином России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 с целью устранения воз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никших проблем с реализацией уполномоченными органами полномочий по присвоению и аннулированию адресов в контексте вступивших в силу изменений, предусмотренных Приказом, а также с учетом позиции Росреестра, направленной в Минфин России в апреле 2026 года,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направлено информационно-разъяснительное письмо от 20.05.2026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br/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№ 20-03-06/42106 (далее -  Разъяснение) в адрес исполнительных органов государственной власти субъектов Российской Федерации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lang w:eastAsia="ru-RU"/>
        </w:rPr>
        <w:t xml:space="preserve">. </w:t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  <w:r>
        <w:rPr>
          <w:rFonts w:ascii="Tinos" w:hAnsi="Tinos" w:cs="Tinos"/>
          <w:i w:val="0"/>
          <w:iCs w:val="0"/>
          <w:color w:val="00000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b/>
          <w:bCs/>
          <w:i/>
          <w:color w:val="000000"/>
          <w:sz w:val="28"/>
          <w:szCs w:val="28"/>
          <w:u w:val="single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В Разъяснении Минфин России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i w:val="0"/>
          <w:iCs w:val="0"/>
          <w:sz w:val="28"/>
          <w:szCs w:val="28"/>
        </w:rPr>
        <w:t xml:space="preserve">ак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центировал внимание уполномоченных органов на необходимости неукоснительного соблюдения требований Правил присвоения адресов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,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предусматривающих порядок присвоения адресов объектам адресации </w:t>
      </w:r>
      <w:r>
        <w:rPr>
          <w:rFonts w:ascii="Tinos" w:hAnsi="Tinos" w:eastAsia="Tinos" w:cs="Tinos"/>
          <w:b/>
          <w:i w:val="0"/>
          <w:iCs w:val="0"/>
          <w:color w:val="000000"/>
          <w:sz w:val="28"/>
          <w:szCs w:val="28"/>
        </w:rPr>
        <w:t xml:space="preserve">при выполнении кадастровых работ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,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в том числе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u w:val="single"/>
        </w:rPr>
        <w:t xml:space="preserve">в части недопустимости:</w:t>
      </w:r>
      <w:r>
        <w:rPr>
          <w:rFonts w:ascii="Tinos" w:hAnsi="Tinos" w:cs="Tinos"/>
          <w:b/>
          <w:bCs/>
          <w:i w:val="0"/>
          <w:iCs w:val="0"/>
          <w:color w:val="000000"/>
          <w:sz w:val="28"/>
          <w:szCs w:val="28"/>
          <w:u w:val="single"/>
        </w:rPr>
      </w:r>
      <w:r>
        <w:rPr>
          <w:rFonts w:ascii="Tinos" w:hAnsi="Tinos" w:cs="Tinos"/>
          <w:b/>
          <w:bCs/>
          <w:i w:val="0"/>
          <w:iCs w:val="0"/>
          <w:color w:val="000000"/>
          <w:sz w:val="28"/>
          <w:szCs w:val="28"/>
          <w:u w:val="single"/>
        </w:rPr>
      </w:r>
    </w:p>
    <w:p>
      <w:pPr>
        <w:pStyle w:val="622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</w:rPr>
        <w:t xml:space="preserve"> </w:t>
        <w:tab/>
        <w:t xml:space="preserve">принятия ими решений об отказе в присвоении образуемому объекту адресации адреса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по причине отсутствия у такого объекта кадастрового номера и (или) отсутствия государственной регистрации прав собственности на такой объект – </w:t>
      </w:r>
      <w:r>
        <w:rPr>
          <w:rFonts w:ascii="Tinos" w:hAnsi="Tinos" w:eastAsia="Tinos" w:cs="Tinos"/>
          <w:b/>
          <w:i w:val="0"/>
          <w:iCs w:val="0"/>
          <w:color w:val="000000"/>
          <w:sz w:val="28"/>
          <w:szCs w:val="28"/>
        </w:rPr>
        <w:t xml:space="preserve">если присвоение такому объекту адресации адреса осуществляется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</w:rPr>
        <w:t xml:space="preserve"> в случаях, указанных в абзаце третьем подпункта «а», абзаце третьем подпункта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«б», абзаце третьем подпункта «в» и подпункте «г» пункта 8 Правил присвоения, адресов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при выполнении кадастровых работ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в отношении соответствующего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объекта недвижимости,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в том числе по обращениям кадастровых инженеров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, направленным на основании пункта 29 Правил присвоения адресов;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принятия решений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об отказе в присвоении объекту адресации адреса, </w:t>
      </w:r>
      <w:r>
        <w:rPr>
          <w:rFonts w:ascii="Tinos" w:hAnsi="Tinos" w:eastAsia="Tinos" w:cs="Tinos"/>
          <w:i w:val="0"/>
          <w:iCs w:val="0"/>
          <w:sz w:val="28"/>
          <w:szCs w:val="28"/>
        </w:rPr>
        <w:br/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не соответствующих требованиям пунктов 40 – 42 Правил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присвоения адресов; 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истребования от заявителей дополнительных документов, предоставление которых Правилами присвоения адресов не предусмотрено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(в том числе межевых и технических планов на образуемые объекты недвижимости, государственный кадастровый учет которых еще не осуществлен, либо проектов таких документов).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i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Также в Разъяснении отмечается, что </w:t>
      </w:r>
      <w:r>
        <w:rPr>
          <w:rFonts w:ascii="Tinos" w:hAnsi="Tinos" w:eastAsia="Tinos" w:cs="Tinos"/>
          <w:b/>
          <w:i w:val="0"/>
          <w:iCs w:val="0"/>
          <w:sz w:val="28"/>
          <w:szCs w:val="28"/>
        </w:rPr>
        <w:t xml:space="preserve">установленный пункт</w:t>
      </w:r>
      <w:r>
        <w:rPr>
          <w:rFonts w:ascii="Tinos" w:hAnsi="Tinos" w:eastAsia="Tinos" w:cs="Tinos"/>
          <w:b/>
          <w:i w:val="0"/>
          <w:iCs w:val="0"/>
          <w:sz w:val="28"/>
          <w:szCs w:val="28"/>
        </w:rPr>
        <w:t xml:space="preserve">ом 40 Правил присвоения адресов</w:t>
      </w:r>
      <w:r>
        <w:rPr>
          <w:rFonts w:ascii="Tinos" w:hAnsi="Tinos" w:eastAsia="Tinos" w:cs="Tinos"/>
          <w:b/>
          <w:i w:val="0"/>
          <w:iCs w:val="0"/>
          <w:sz w:val="28"/>
          <w:szCs w:val="28"/>
        </w:rPr>
        <w:t xml:space="preserve"> п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еречень случаев, в которых в присвоении объекту адресации адреса или аннулировании его адреса может быть отказано </w:t>
      </w:r>
      <w:r>
        <w:rPr>
          <w:rFonts w:ascii="Tinos" w:hAnsi="Tinos" w:eastAsia="Tinos" w:cs="Tinos"/>
          <w:b/>
          <w:i w:val="0"/>
          <w:iCs w:val="0"/>
          <w:sz w:val="28"/>
          <w:szCs w:val="28"/>
        </w:rPr>
        <w:t xml:space="preserve">является конечным,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иные основания для отказа в присвоении адреса объекту адресации законодательством в области адресации не предусмотрены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В этой связи обращаем внимание, что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u w:val="single"/>
          <w:shd w:val="clear" w:color="auto" w:fill="ffffff"/>
        </w:rPr>
        <w:t xml:space="preserve">отсутствие в межевом/техническом плане адреса по ГАР для объектов, которые являются объектами адресации, является основанием для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u w:val="single"/>
        </w:rPr>
        <w:t xml:space="preserve"> приостановления осуществления государственного кадастрового учета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u w:val="single"/>
        </w:rPr>
        <w:t xml:space="preserve"> по </w:t>
      </w:r>
      <w:r>
        <w:rPr>
          <w:rFonts w:ascii="Tinos" w:hAnsi="Tinos" w:eastAsia="Tinos" w:cs="Tinos"/>
          <w:b w:val="0"/>
          <w:bCs w:val="0"/>
          <w:i w:val="0"/>
          <w:iCs w:val="0"/>
          <w:color w:val="000000"/>
          <w:sz w:val="28"/>
          <w:szCs w:val="28"/>
          <w:u w:val="single"/>
          <w:lang w:eastAsia="ru-RU"/>
        </w:rPr>
        <w:t xml:space="preserve">пункту 7 части 1 статьи 26 Ф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  <w:u w:val="single"/>
        </w:rPr>
        <w:t xml:space="preserve">едерального закона от 13.07.2015 № 218-ФЗ «О государственной регистрации недвижимости»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.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При этом также отмечаем, что возможность присвоения объекту адресации адреса определяется уполномоченным органом (подпункт «а» пункта 19 Правил присвоения адресов), и в присвоении объекту адресаци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и адреса таким органом может быть отказано на основании подпункта «г» пункта 40 Правил присвоения адресов, когда отсутствуют случаи и условия для присвоения объекту адресации адреса, указанные в пунктах 5, 8 – 11 Правил присвоения адресов (то есть когда во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зможность присвоения такому объекту адреса в соответствии с Правилами присвоения адресов объективно отсутствует, несмотря на надлежащее исполнение (соблюдение) заявителем и (или) уполномоченным органом соответствующих положений Правил присвоения адресов). </w:t>
      </w:r>
      <w:r>
        <w:rPr>
          <w:rFonts w:ascii="Tinos" w:hAnsi="Tinos" w:cs="Tinos"/>
          <w:i w:val="0"/>
          <w:iCs w:val="0"/>
          <w:sz w:val="28"/>
          <w:szCs w:val="28"/>
        </w:rPr>
      </w:r>
      <w:r>
        <w:rPr>
          <w:rFonts w:ascii="Tinos" w:hAnsi="Tinos" w:cs="Tinos"/>
          <w:i w:val="0"/>
          <w:iCs w:val="0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Представляется, что в случае, если на осн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овании обращения кадастрового инженера, предусмотренного пунктом 29 Правил присвоения адресов, сведения об адресе объекта недвижимости не были внесены в государственный адресный реестр ввиду отсутствия возможности присвоения ему адреса, которое установлено</w:t>
      </w:r>
      <w:r>
        <w:rPr>
          <w:rFonts w:ascii="Tinos" w:hAnsi="Tinos" w:eastAsia="Tinos" w:cs="Tinos"/>
          <w:i w:val="0"/>
          <w:iCs w:val="0"/>
        </w:rPr>
        <w:t xml:space="preserve">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уполномоченным органом путем принятия решения об отказе в присвоении адреса такому объекту на основании подпункта «г» пункта 40 Правил присвоения адресов (и,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соответственно, отсутствует уникальный идентификатор адреса, присвоенный объекту недвижимости уполномоченным органом), кадастровым инженером в               карте-плане территории, межевом плане, техническом плане могут быть указаны сведения об ином месте нахождения т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акого объекта недвижимости, а осуществление государственного кадастрового учета не подлежит приостановлению при наличии в составе указанных документов соответствующего решения уполномоченного органа, подтверждающего невозможность присвоения адреса объекту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недвижимости по причинам, не зависящим от действий кадастрового инженера или иного уполномоченного заявителя, указанного в пунктах 27 и 29 Правил присвоения адресов, которое вправе обращаться за присвоением адреса объекту адресации.</w:t>
      </w:r>
      <w:r>
        <w:rPr>
          <w:rFonts w:ascii="Tinos" w:hAnsi="Tinos" w:eastAsia="Tinos" w:cs="Tinos"/>
          <w:i w:val="0"/>
          <w:iCs w:val="0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  <w:jc w:val="center"/>
    </w:pPr>
    <w:fldSimple w:instr="PAGE \* MERGEFORMAT">
      <w:r>
        <w:t xml:space="preserve">1</w:t>
      </w:r>
    </w:fldSimple>
    <w:r/>
    <w:r/>
  </w:p>
  <w:p>
    <w:pPr>
      <w:pStyle w:val="44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19"/>
    <w:next w:val="619"/>
    <w:link w:val="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">
    <w:name w:val="Heading 1 Char"/>
    <w:basedOn w:val="13"/>
    <w:link w:val="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19"/>
    <w:next w:val="619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13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13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13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13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13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19"/>
    <w:next w:val="619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6">
    <w:name w:val="Title"/>
    <w:basedOn w:val="619"/>
    <w:next w:val="619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13"/>
    <w:link w:val="36"/>
    <w:uiPriority w:val="10"/>
    <w:rPr>
      <w:sz w:val="48"/>
      <w:szCs w:val="48"/>
    </w:rPr>
  </w:style>
  <w:style w:type="paragraph" w:styleId="38">
    <w:name w:val="Subtitle"/>
    <w:basedOn w:val="619"/>
    <w:next w:val="619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619"/>
    <w:next w:val="619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19"/>
    <w:next w:val="619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619"/>
    <w:next w:val="61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50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4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7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1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4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8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1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13"/>
    <w:uiPriority w:val="99"/>
    <w:unhideWhenUsed/>
    <w:rPr>
      <w:vertAlign w:val="superscript"/>
    </w:rPr>
  </w:style>
  <w:style w:type="paragraph" w:styleId="180">
    <w:name w:val="endnote text"/>
    <w:basedOn w:val="61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13"/>
    <w:uiPriority w:val="99"/>
    <w:semiHidden/>
    <w:unhideWhenUsed/>
    <w:rPr>
      <w:vertAlign w:val="superscript"/>
    </w:rPr>
  </w:style>
  <w:style w:type="paragraph" w:styleId="183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No Spacing"/>
    <w:basedOn w:val="619"/>
    <w:uiPriority w:val="1"/>
    <w:qFormat/>
    <w:pPr>
      <w:spacing w:after="0" w:line="240" w:lineRule="auto"/>
    </w:pPr>
  </w:style>
  <w:style w:type="paragraph" w:styleId="623">
    <w:name w:val="List Paragraph"/>
    <w:basedOn w:val="619"/>
    <w:uiPriority w:val="34"/>
    <w:qFormat/>
    <w:pPr>
      <w:contextualSpacing/>
      <w:ind w:left="720"/>
    </w:pPr>
  </w:style>
  <w:style w:type="character" w:styleId="62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manzhelej_nv</cp:lastModifiedBy>
  <cp:revision>1</cp:revision>
  <dcterms:modified xsi:type="dcterms:W3CDTF">2026-09-10T05:51:15Z</dcterms:modified>
</cp:coreProperties>
</file>