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Приложение № 3</w:t>
      </w:r>
      <w:r>
        <w:rPr>
          <w:rFonts w:ascii="Tinos" w:hAnsi="Tinos" w:cs="Tinos"/>
          <w:sz w:val="28"/>
          <w:szCs w:val="28"/>
        </w:rPr>
      </w:r>
    </w:p>
    <w:p>
      <w:pPr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22"/>
        <w:ind w:firstLine="708"/>
        <w:jc w:val="both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О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пределение правообладателей смежного земельного участка, с которыми нужно согласовать границы земельного участка при их уточнении, если соответствующий смежный земельный участок расположен в границах территории ведения гражданами садоводства или огородниче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ства</w:t>
      </w:r>
      <w:r/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.</w:t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Согласно части 3 статьи  39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Федерального закона от 24.07.2007                № 221-ФЗ «О кадастровой деятельности» (далее – Закон № 221-ФЗ) с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огласование местоположения границ проводится с лицами, обладающими смежными земельными участками на праве: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1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) собственности (за исключением случаев, если такие смежные земельные участки, находящиеся в государственной или муниципальной собственности, предоставлены гражданам в пожизненное наследуемое владение, постоянное (бессрочное) пользование либо юридическим л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ицам, не являющимся государственными или муниципальными учреждениями либо казенными предприятиями, в постоянное (бессрочное) пользование);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2) пожизненного наследуемого владения;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3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) постоянного (бессрочного) пользования (за исключением случаев, если такие смежные земельные участки предоставлены государственным или муниципальным учреждениям, казенным предприятиям, органам государственной власти или органам местного самоуправления в п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остоянное (бессрочное) пользование);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4) аренды (если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лет).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Обращаем внимание, что п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рава на объекты недвижимос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ти, возникшие до дня вступления в силу Федерального закона от 21 июля 1997 года </w:t>
        <w:br/>
        <w:t xml:space="preserve">№ 122-ФЗ «О государственной регистрации прав на недвижимое имущество и сделок с ним» (далее – Закон № 122-ФЗ), признаются юридически действительными при отсутствии их государс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твенной регистрации в Едином государственном реестре недвижимости (далее – ЕГРН). Государственная регистрация таких прав в ЕГРН проводится по желанию их обладателей </w:t>
        <w:br/>
        <w:t xml:space="preserve">(часть 1 статьи 69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Федерального закона от 13.07.2015 № 218-ФЗ «О государственной регистрации недвижимости»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).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 В силу пункта 9 статьи 3 Федерального закона от 25.10.2001 № 137-ФЗ «О введении в действие Земельного кодекса Российской Федерации»  </w:t>
        <w:br/>
        <w:t xml:space="preserve">(далее – Закон № 137-ФЗ) п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ризнаются действительными и имеют равную юридическую силу с записями в Едином государственном реестре прав на недвижимое имущество и сделок с ним выданные после введения в действие Закона № 122-ФЗ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до начала выдачи свидетельств о государственной регистрации прав по форме, утвержденной Постановлением Правительства Российской Федерации от 18.02.1998 № 219 «Об утверждении Правил ведения Единого гос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ударственного реестра прав на недвижимое имущество и сделок с ним», свидетельства о праве собственности на землю по форме, утвержденной Указом Президента Российской Федерации от 27.10.1993 </w:t>
        <w:br/>
        <w:t xml:space="preserve">№ 1767 «О регулировании земельных отношений и развитии аграр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н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ой реформы в России», а также государственные акты о праве пожизненного наследуемого владения земельными участками, праве постоянного (бессрочного) пользования земельными участками по формам, утвержденным Постановлением Совета Министров РСФСР от 17.09.1991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№ 493 «Об утверждении форм государственного акта на право собственности на землю, пожизненного наследуемого владения, бессрочного (постоянного) пользования землей», свидетельства о праве собственности на землю по форме, утвержденной Постановлением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Правительства Российской Федерации от 19.03.1992 № 177 «Об утверждении форм свидетельства о праве собственности на землю, договора аренды земель сельскохозяйственного назначения и договора временного пользования землей сельскохозяйственного назначени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я».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При этом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акт об отводе земельного участка (в отсутствие государственного акта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 праве пожизненного наследуемого владения земельным участком, праве постоянного (бессрочного) пользования земельным участком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, 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свидетельства и других документов, удостоверяющих права на землю и выданных до введения в действие Закона № 122-ФЗ)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указывает на начало процедуры по предоставлению земельного участка, и не подтверждает наличие ранее возникшего права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на такой участок.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В силу части 4 статьи 39 Закона № 221-ФЗ в согласовании местоположения границ от имени </w:t>
      </w:r>
      <w:r>
        <w:rPr>
          <w:rFonts w:ascii="Tinos" w:hAnsi="Tinos" w:eastAsia="Tinos" w:cs="Tinos"/>
          <w:sz w:val="28"/>
          <w:szCs w:val="28"/>
        </w:rPr>
        <w:t xml:space="preserve">собственников земельных участков, расположенных в границах территории садоводства или огородничества,</w:t>
      </w:r>
      <w:r>
        <w:rPr>
          <w:rFonts w:ascii="Tinos" w:hAnsi="Tinos" w:eastAsia="Tinos" w:cs="Tinos"/>
          <w:sz w:val="28"/>
          <w:szCs w:val="28"/>
        </w:rPr>
        <w:t xml:space="preserve"> вправе участвовать представитель </w:t>
      </w:r>
      <w:r>
        <w:rPr>
          <w:rFonts w:ascii="Tinos" w:hAnsi="Tinos" w:eastAsia="Tinos" w:cs="Tinos"/>
          <w:sz w:val="28"/>
          <w:szCs w:val="28"/>
        </w:rPr>
        <w:t xml:space="preserve">с</w:t>
      </w:r>
      <w:r>
        <w:rPr>
          <w:rFonts w:ascii="Tinos" w:hAnsi="Tinos" w:eastAsia="Tinos" w:cs="Tinos"/>
          <w:sz w:val="28"/>
          <w:szCs w:val="28"/>
        </w:rPr>
        <w:t xml:space="preserve">адоводческого или огороднического некоммерческого товарищества - решением общего собрания членов садоводческого или огороднического некоммерческого товарищества (если соответствующий смежный земельный участок расположен в границах территории ведения гражда</w:t>
      </w:r>
      <w:r>
        <w:rPr>
          <w:rFonts w:ascii="Tinos" w:hAnsi="Tinos" w:eastAsia="Tinos" w:cs="Tinos"/>
          <w:sz w:val="28"/>
          <w:szCs w:val="28"/>
        </w:rPr>
        <w:t xml:space="preserve">нами садоводства или огородничества для собственных нужд и является земельным участком </w:t>
      </w:r>
      <w:r>
        <w:rPr>
          <w:rFonts w:ascii="Tinos" w:hAnsi="Tinos" w:eastAsia="Tinos" w:cs="Tinos"/>
          <w:sz w:val="28"/>
          <w:szCs w:val="28"/>
          <w:u w:val="single"/>
        </w:rPr>
        <w:t xml:space="preserve">общего назначения</w:t>
      </w:r>
      <w:r>
        <w:rPr>
          <w:rFonts w:ascii="Tinos" w:hAnsi="Tinos" w:eastAsia="Tinos" w:cs="Tinos"/>
          <w:sz w:val="28"/>
          <w:szCs w:val="28"/>
        </w:rPr>
        <w:t xml:space="preserve">).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Согласно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классификатору видов разрешенного использования земельных участков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, утвержденному приказом Росреестра от 10.11.2020 </w:t>
        <w:br/>
        <w:t xml:space="preserve">№ П/0412, к земельным участкам с видом разрешенного использования «Земельные участки общего назначения, код 13.0» относятся з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для размещения объектов капитального строительства, относящихся к имуществу общего пользования.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  <w:t xml:space="preserve">З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емельный участок общего назначения, находящийся в государственной или муниципальной собственности и расположенный в границах территории садоводства или огородничества, подлежит предоставлению в общую долевую собственность лиц, являющихся собственниками зем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ельных участков, расположенных в границах территории садоводства или огородничества, пропорционально площади этих участков (часть 4 статьи 24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Федерального закона от 29.07.2017 № 217-ФЗ «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 ведении гражданами садоводства и огородничества для собственных нужд и о внесении изменений в отдельные законодательные акты Российской Федерации»)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.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Таким образом,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представитель садоводческого или огороднического некоммерческого товарищества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не вправе участвовать в согласовании местоположения границ земельного участка, если соответствующий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смежный земельный участок, расположенный в границах территории ведения гражданами садоводства или огородничества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, не является земельным участком общего назначения (например, садовый земельный участок с видом разрешенного использования «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Ведение садоводства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, код 13.2»).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  <w:t xml:space="preserve">В силу статьи 3.3 Закона № 137-ФЗ распоряжение земельными участками, государственная собственность на которые не разграничена,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осуществляется уполномоченными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органами государственной власти или органами местного самоуправления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.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622"/>
        <w:ind w:firstLine="708"/>
        <w:jc w:val="both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При отсутствии  прав третьих лиц на данный смежный земельный участок в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согласовании ме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стоположения границ от имени уполномоченного органа государственной власти или органа местного самоуправления вправе участвовать представитель данного органа, уполномоченный на такое согласование доверенностью, составленной на бланке данного органа и завер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енной печатью и подписью руководителя данного органа. Нотариальное удостоверение этой доверенности не требуется (ч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асть 4 статьи 39 Закона </w:t>
        <w:br/>
        <w:t xml:space="preserve">№ 221-ФЗ)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.</w:t>
      </w:r>
      <w:r/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"/>
      <w:jc w:val="center"/>
    </w:pPr>
    <w:fldSimple w:instr="PAGE \* MERGEFORMAT">
      <w:r>
        <w:t xml:space="preserve">1</w:t>
      </w:r>
    </w:fldSimple>
    <w:r/>
    <w:r/>
  </w:p>
  <w:p>
    <w:pPr>
      <w:pStyle w:val="44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5">
    <w:name w:val="Heading 1"/>
    <w:basedOn w:val="619"/>
    <w:next w:val="619"/>
    <w:link w:val="1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6">
    <w:name w:val="Heading 1 Char"/>
    <w:basedOn w:val="13"/>
    <w:link w:val="1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7">
    <w:name w:val="Heading 2"/>
    <w:basedOn w:val="619"/>
    <w:next w:val="619"/>
    <w:link w:val="1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8">
    <w:name w:val="Heading 2 Char"/>
    <w:basedOn w:val="13"/>
    <w:link w:val="17"/>
    <w:uiPriority w:val="9"/>
    <w:rPr>
      <w:rFonts w:ascii="Liberation Sans" w:hAnsi="Liberation Sans" w:eastAsia="Liberation Sans" w:cs="Liberation Sans"/>
      <w:sz w:val="34"/>
    </w:rPr>
  </w:style>
  <w:style w:type="paragraph" w:styleId="19">
    <w:name w:val="Heading 3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20">
    <w:name w:val="Heading 3 Char"/>
    <w:basedOn w:val="13"/>
    <w:link w:val="1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1">
    <w:name w:val="Heading 4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2">
    <w:name w:val="Heading 4 Char"/>
    <w:basedOn w:val="13"/>
    <w:link w:val="2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3">
    <w:name w:val="Heading 5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4">
    <w:name w:val="Heading 5 Char"/>
    <w:basedOn w:val="13"/>
    <w:link w:val="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5">
    <w:name w:val="Heading 6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">
    <w:name w:val="Heading 6 Char"/>
    <w:basedOn w:val="13"/>
    <w:link w:val="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13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13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619"/>
    <w:next w:val="619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13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6">
    <w:name w:val="Title"/>
    <w:basedOn w:val="619"/>
    <w:next w:val="619"/>
    <w:link w:val="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7">
    <w:name w:val="Title Char"/>
    <w:basedOn w:val="13"/>
    <w:link w:val="36"/>
    <w:uiPriority w:val="10"/>
    <w:rPr>
      <w:sz w:val="48"/>
      <w:szCs w:val="48"/>
    </w:rPr>
  </w:style>
  <w:style w:type="paragraph" w:styleId="38">
    <w:name w:val="Subtitle"/>
    <w:basedOn w:val="619"/>
    <w:next w:val="619"/>
    <w:link w:val="39"/>
    <w:uiPriority w:val="11"/>
    <w:qFormat/>
    <w:pPr>
      <w:spacing w:before="200" w:after="200"/>
    </w:pPr>
    <w:rPr>
      <w:sz w:val="24"/>
      <w:szCs w:val="24"/>
    </w:rPr>
  </w:style>
  <w:style w:type="character" w:styleId="39">
    <w:name w:val="Subtitle Char"/>
    <w:basedOn w:val="13"/>
    <w:link w:val="38"/>
    <w:uiPriority w:val="11"/>
    <w:rPr>
      <w:sz w:val="24"/>
      <w:szCs w:val="24"/>
    </w:rPr>
  </w:style>
  <w:style w:type="paragraph" w:styleId="40">
    <w:name w:val="Quote"/>
    <w:basedOn w:val="619"/>
    <w:next w:val="619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619"/>
    <w:next w:val="619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13"/>
    <w:link w:val="44"/>
    <w:uiPriority w:val="99"/>
  </w:style>
  <w:style w:type="paragraph" w:styleId="46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13"/>
    <w:link w:val="46"/>
    <w:uiPriority w:val="99"/>
  </w:style>
  <w:style w:type="paragraph" w:styleId="48">
    <w:name w:val="Caption"/>
    <w:basedOn w:val="619"/>
    <w:next w:val="619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13"/>
    <w:link w:val="4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50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1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2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3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4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5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7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8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9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0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1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2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4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5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6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7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8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9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Hyperlink"/>
    <w:uiPriority w:val="99"/>
    <w:unhideWhenUsed/>
    <w:rPr>
      <w:color w:val="0000ff" w:themeColor="hyperlink"/>
      <w:u w:val="single"/>
    </w:rPr>
  </w:style>
  <w:style w:type="paragraph" w:styleId="177">
    <w:name w:val="footnote text"/>
    <w:basedOn w:val="619"/>
    <w:link w:val="178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Text Char"/>
    <w:link w:val="177"/>
    <w:uiPriority w:val="99"/>
    <w:rPr>
      <w:sz w:val="18"/>
    </w:rPr>
  </w:style>
  <w:style w:type="character" w:styleId="179">
    <w:name w:val="footnote reference"/>
    <w:basedOn w:val="13"/>
    <w:uiPriority w:val="99"/>
    <w:unhideWhenUsed/>
    <w:rPr>
      <w:vertAlign w:val="superscript"/>
    </w:rPr>
  </w:style>
  <w:style w:type="paragraph" w:styleId="180">
    <w:name w:val="endnote text"/>
    <w:basedOn w:val="619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13"/>
    <w:uiPriority w:val="99"/>
    <w:semiHidden/>
    <w:unhideWhenUsed/>
    <w:rPr>
      <w:vertAlign w:val="superscript"/>
    </w:rPr>
  </w:style>
  <w:style w:type="paragraph" w:styleId="183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No Spacing"/>
    <w:basedOn w:val="619"/>
    <w:uiPriority w:val="1"/>
    <w:qFormat/>
    <w:pPr>
      <w:spacing w:after="0" w:line="240" w:lineRule="auto"/>
    </w:pPr>
  </w:style>
  <w:style w:type="paragraph" w:styleId="623">
    <w:name w:val="List Paragraph"/>
    <w:basedOn w:val="619"/>
    <w:uiPriority w:val="34"/>
    <w:qFormat/>
    <w:pPr>
      <w:contextualSpacing/>
      <w:ind w:left="720"/>
    </w:pPr>
  </w:style>
  <w:style w:type="character" w:styleId="62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manzhelej_nv</cp:lastModifiedBy>
  <cp:revision>1</cp:revision>
  <dcterms:modified xsi:type="dcterms:W3CDTF">2026-09-10T05:09:50Z</dcterms:modified>
</cp:coreProperties>
</file>