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tabs>
          <w:tab w:val="left" w:pos="540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  <w:r>
        <w:t xml:space="preserve">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54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5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Вступившие с 01.03.2025 в силу дополнения в статью </w:t>
      </w:r>
      <w:r>
        <w:rPr>
          <w:b/>
          <w:bCs/>
          <w:sz w:val="28"/>
          <w:szCs w:val="28"/>
        </w:rPr>
      </w:r>
      <w:r/>
    </w:p>
    <w:p>
      <w:pPr>
        <w:jc w:val="center"/>
        <w:tabs>
          <w:tab w:val="left" w:pos="54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52 Градостроительного кодекса Российской Федерации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jc w:val="center"/>
        <w:tabs>
          <w:tab w:val="left" w:pos="54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jc w:val="both"/>
        <w:tabs>
          <w:tab w:val="left" w:pos="540" w:leader="none"/>
        </w:tabs>
      </w:pPr>
      <w:r>
        <w:t xml:space="preserve">          </w:t>
      </w:r>
      <w:r>
        <w:rPr>
          <w:sz w:val="26"/>
          <w:szCs w:val="26"/>
        </w:rPr>
      </w:r>
      <w:r/>
      <w: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01.03.2025 статья 52 Градостроительного кодекса Российской Федерации (далее- Грк РФ) дополнена в том числе частью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13, согласно которой в случае если в соответствии с частью 17 статьи 51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строительства или реконструкции здания или сооружения не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требуются получение разрешения на строительство,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(или) подготовка проектной документации, строительство или реконструкция здания или сооружения (помещений или машино-мест в таком здании)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считаются завершенными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 дня осуществления государственного кадастрового учета.   </w:t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Положения части 13 статьи 52 Грк РФ  применяются также в отношении жилого дома или садового дома, строительство или реконструкция которых осуществлялись без получения уведомления, предусмотренного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пунктом 2 части 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статьи 52 ГРк РФ, при условии, что строительство или реконструкция указанных объектов без получения такого уведомления допускаются федеральным законом.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Принятие указанной нормы обусловлено появлением в градостроительном законодательстве понятия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момента завершения строительства объекта капитального строительства. 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26.12.2024 № 487-ФЗ «О внесении изменений в отдельные законодательные акты Российской Федерации»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 - Закон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487-ФЗ) были внесены изменения в целый ряд федеральных законов, в том числе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ГрК РФ в части установления положений, определяющих момент завершения строительства объекта капитального строительства.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Необходимо отметить, что до вступления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487-ФЗ отсутствовало регулирование вопроса завершения строительства объектов, для строительства или реконструкции которых в силу положений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РФ получение разрешения на строительства не требовалось. Иными словами, в законодательстве отсутствовали единые правила определения такой характеристики объектов капитального строительства как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момент завершения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вступления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487-ФЗ статья 52 ГрК РФ дополнена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частями 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согласно которым: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строительство или реконструкция здания, сооружения считаются завершенными со дня: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получения разрешения на ввод в эксплуатацию здания или сооружения в случае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если для строительства или реконструкции таких здания или сооружения требуется получение разрешения на строительство;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получения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за исключением случаев, если строительство таких 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ъектов капитального строительства осуществлялось без получения уведомлений, предусмотренных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статьей 51.1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 16 статьи 55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ГрК РФ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(часть 12)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случае, если в соответствии с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частью 17 статьи 51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ГрК РФ для строительства или реконструкции здания, сооружения не требуются получение разрешения на строительство и (или) подготовка проектной документации, строительство или реконструкция здания или сооружения (помещений или машино-мест в таких здании или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сооружении) считаются завершенными со дня осуществления их государственного кадастрового учета.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Данные положения применяются также в отношении жилого дома или садового дома, строительство или реконструкция которых осуществлялись без получения уведомления,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предусмотренного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пунктом 2 части 12 статьи 52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ГрК РФ, при условии, что строительство или реконструкция указанных объектов без получения такого уведомления допускаются федеральным законом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(часть 13)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строительство, реконструкция объектов капитального строительства не могут считаться завершенными при несоблюдении условий, предусмотренных указанными нормами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частями 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 статьи 52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ГрК РФ)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(часть 14)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540"/>
        <w:jc w:val="both"/>
        <w:spacing w:before="168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Кроме того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№ 487-ФЗ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застройщика или иное лицо, имеющее право на оформление права на здание, сооружение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получения возможности их эксплуатации и осуществления государственного кадастрово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учета и (или) государственной регистрации прав на такие здание, сооружение возложена  обязанность: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подготовить и направить в уполномоченный орган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или организацию, указанные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статье 55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ГрК РФ,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документы, необходимые для выдачи разрешения на ввод объекта капитального строительства в эксплуатацию, в том числе документы, необходимые для осуществления государственного кадастрового учета и (или) государственной регистрации прав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здание,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оружение,  в случае, если строительство осуществлялось на основании выданного разрешения на строительство;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подготовить и направить в орган регистрации прав документы, необходимые для осуществления государственного кадастрового учета и (или) государственной регистрации 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здание, сооружение (помещения или машино-места в таких здании, сооружении), в случа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для строительства или реконструкции таких здания, сооружения не требовалось получение разрешения на строительство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(часть 15)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учетом изложенного,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после 01.03.2025 объекты капитального строительства, для строительства, реконструкции которых в силу положений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части 17 статьи 51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рК РФ не требуется получение разрешения на строительство, в том числе жилые дома (объекты индивидуального жилищного строительства), садовые дома, строительство или реконструкция которых допускаются федеральным законом без соблюдения уведомительного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не являются завершенными строительством, если до указанной даты (01.03.2025) не осущест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влен государственный кадастровый учет таких объектов.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13.07.2015 № 218-ФЗ «О государственной регистрации недвижимости» (далее - Закон № 218-ФЗ) предусмотрено указание в ЕГРН в качестве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основных характеристик - «год ввода в эксплуатацию»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здания или сооружения по завершении его строительства, либо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«год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авершения строительства»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таких объектов недвижимости, если в соответствии с федеральным законом выдача разрешения на ввод объекта в эксплуатацию не предусматривается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пункт 18 части 4 статьи 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№ 218-ФЗ).</w:t>
        <w:br/>
        <w:t xml:space="preserve">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технического плана,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Требованиями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подготовке технического плана и составом содержащихся в нем сведений, утвержденными приказом Росреестра от 15.03.2022 № П/0082 (далее - Требования № П/0082,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подпункты 13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 пункта 51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также предусмотрено указание в техническом плане здания или сооружения: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-года ввода в эксплуатацию здания или сооружения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окончании его строительства, если объектом недвижимости является здание или сооружение.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-год завершения строительства объектов недвижимости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если в соответствии с федеральным законом выдача разрешения на ввод объекта в эксплуатацию не предусматривается;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Таким образом, кадастровыми инженерами  при подготовке  технических планов год завершения строительства должен указываться в соответствии с годом подачи заявления об осущ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ствлении государственного кадастрового учета таких объектов недвижимости, и сведения о годе завершения строительства в ЕГРН также должны соответствовать году осуществления ГКУ.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декларации об объекте недвижимости на основании которых готовиться технический план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жилого дома или садового дома, и иного объекта, в отношении которо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не требуется выдача разрешение на строительство, не может быть указан год завершения строительства ранее года обращения в орган регистрации прав с заявлением об осуществлении государственного кадастрового учета такого объекта капитального строительства.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этом для подготовки технического плана могут быть использованы документы (на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пример, технический паспорт, подготовленный до 01.01.2013), подтверждающий иной год завершен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ия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 также выписка из похозяй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ственной книги, в которой поименован в том числе жилой фонд (в частности жилой дом с указанием его характеристик: площади и года постройки, тогда в техническом плане может быть указан год завершения строительства отличный от года, в котором осуществлен гос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ударственный кадастровый учет объекта капитального строительства. В указанном случае характеристики объекта капитального строительства, содержащиеся в техническом паспорте или выписке из похозяйственной книги и в техническом плане должны быть идентичными.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Кроме того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 учетом положений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частей 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 статьи 69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статьи 71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Закона № 218-ФЗ при подготовке технического плана в отношении ранее учтенного здания, сооружения для представления заявления о внесении в ЕГРН сведений о ранее учтенном объекте недвижимости, могут быть использованы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изготовленный до 01.01.2013 технический паспорт, а также правоустанавливающий документ объекта, право по которому не прекращено.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указанном случае допустимо указание в техническом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плане года завершения строительства здания, сооружения, соответствующего году издания (выдачи) правоустанавливающего, правоудостоверяющего документа или технического паспорта такого здания, сооружения.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Также допустимо указание года завершения строительств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исходя из содержания документов, имеющихся в распоряжении заказчика кадастровых работ, в частности, в случае подготовки технического плана в отношении объектов недвижимости, указанных соответственно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статьях 3.7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3.8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25.10.2001 № 137-ФЗ «О введении в действие земельного кодекса Российской Федерации»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(далее- Закон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137-ФЗ).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В качестве документов, подтверждающих год завершения строительства могут быть использованы документы, указанные в статьях 3.7, 3.8, 3.9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137-ФЗ, подтверждающие право воспользоваться гаражной, дачной, линейной амнистиями.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 этом положения  статьи  3.7 Закона № 137-ФЗ применяются в отношении домов блокированной застройки, соответствующих признакам, указанным в пункте 40 статьи 1 Градостроительного кодекса Российской Федерации, в случае, если количество таких домов, возведен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ных до 14 мая 1998 года, в одном ряду не превышает двух.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Кроме того,  комплект справок для принятия на учет в качестве бесхозяйного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объекта недвижимости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 подтверждает год завершения строительства такого объекта недвижимости.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077" w:right="851" w:bottom="1077" w:left="144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2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  <w:tabs>
          <w:tab w:val="num" w:pos="214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  <w:tabs>
          <w:tab w:val="num" w:pos="286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  <w:tabs>
          <w:tab w:val="num" w:pos="358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  <w:tabs>
          <w:tab w:val="num" w:pos="430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  <w:tabs>
          <w:tab w:val="num" w:pos="502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  <w:tabs>
          <w:tab w:val="num" w:pos="574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  <w:tabs>
          <w:tab w:val="num" w:pos="646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  <w:tabs>
          <w:tab w:val="num" w:pos="718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360"/>
        <w:tabs>
          <w:tab w:val="num" w:pos="17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490" w:hanging="360"/>
        <w:tabs>
          <w:tab w:val="num" w:pos="24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10" w:hanging="180"/>
        <w:tabs>
          <w:tab w:val="num" w:pos="32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30" w:hanging="360"/>
        <w:tabs>
          <w:tab w:val="num" w:pos="39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50" w:hanging="360"/>
        <w:tabs>
          <w:tab w:val="num" w:pos="46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370" w:hanging="180"/>
        <w:tabs>
          <w:tab w:val="num" w:pos="53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090" w:hanging="360"/>
        <w:tabs>
          <w:tab w:val="num" w:pos="60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10" w:hanging="360"/>
        <w:tabs>
          <w:tab w:val="num" w:pos="68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30" w:hanging="180"/>
        <w:tabs>
          <w:tab w:val="num" w:pos="753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sz w:val="24"/>
      <w:szCs w:val="24"/>
      <w:lang w:val="ru-RU" w:eastAsia="ru-RU" w:bidi="ar-SA"/>
    </w:rPr>
  </w:style>
  <w:style w:type="paragraph" w:styleId="891">
    <w:name w:val="Заголовок 1"/>
    <w:basedOn w:val="890"/>
    <w:next w:val="890"/>
    <w:link w:val="890"/>
    <w:qFormat/>
    <w:pPr>
      <w:jc w:val="right"/>
      <w:keepNext/>
      <w:outlineLvl w:val="0"/>
    </w:pPr>
    <w:rPr>
      <w:sz w:val="28"/>
    </w:rPr>
  </w:style>
  <w:style w:type="paragraph" w:styleId="892">
    <w:name w:val="Заголовок 2"/>
    <w:basedOn w:val="890"/>
    <w:next w:val="890"/>
    <w:link w:val="890"/>
    <w:qFormat/>
    <w:pPr>
      <w:keepNext/>
      <w:outlineLvl w:val="1"/>
    </w:pPr>
    <w:rPr>
      <w:sz w:val="28"/>
    </w:rPr>
  </w:style>
  <w:style w:type="paragraph" w:styleId="893">
    <w:name w:val="Заголовок 3"/>
    <w:basedOn w:val="890"/>
    <w:next w:val="890"/>
    <w:link w:val="890"/>
    <w:qFormat/>
    <w:pPr>
      <w:ind w:firstLine="900"/>
      <w:jc w:val="both"/>
      <w:keepNext/>
      <w:outlineLvl w:val="2"/>
    </w:pPr>
    <w:rPr>
      <w:sz w:val="28"/>
    </w:rPr>
  </w:style>
  <w:style w:type="paragraph" w:styleId="894">
    <w:name w:val="Заголовок 4"/>
    <w:basedOn w:val="890"/>
    <w:next w:val="890"/>
    <w:link w:val="890"/>
    <w:qFormat/>
    <w:pPr>
      <w:ind w:firstLine="900"/>
      <w:jc w:val="both"/>
      <w:keepNext/>
      <w:outlineLvl w:val="3"/>
    </w:pPr>
    <w:rPr>
      <w:b/>
      <w:bCs/>
      <w:sz w:val="28"/>
    </w:rPr>
  </w:style>
  <w:style w:type="paragraph" w:styleId="895">
    <w:name w:val="Заголовок 6"/>
    <w:basedOn w:val="890"/>
    <w:next w:val="890"/>
    <w:link w:val="89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96">
    <w:name w:val="Заголовок 7"/>
    <w:basedOn w:val="890"/>
    <w:next w:val="890"/>
    <w:link w:val="890"/>
    <w:qFormat/>
    <w:pPr>
      <w:spacing w:before="240" w:after="60"/>
      <w:outlineLvl w:val="6"/>
    </w:pPr>
  </w:style>
  <w:style w:type="paragraph" w:styleId="897">
    <w:name w:val="Заголовок 8"/>
    <w:basedOn w:val="890"/>
    <w:next w:val="890"/>
    <w:link w:val="890"/>
    <w:qFormat/>
    <w:pPr>
      <w:spacing w:before="240" w:after="60"/>
      <w:outlineLvl w:val="7"/>
    </w:pPr>
    <w:rPr>
      <w:i/>
      <w:iCs/>
    </w:rPr>
  </w:style>
  <w:style w:type="paragraph" w:styleId="898">
    <w:name w:val="Заголовок 9"/>
    <w:basedOn w:val="890"/>
    <w:next w:val="890"/>
    <w:link w:val="8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99">
    <w:name w:val="Основной шрифт абзаца"/>
    <w:next w:val="899"/>
    <w:link w:val="916"/>
    <w:semiHidden/>
  </w:style>
  <w:style w:type="table" w:styleId="900">
    <w:name w:val="Обычная таблица"/>
    <w:next w:val="900"/>
    <w:link w:val="890"/>
    <w:semiHidden/>
    <w:tblPr/>
  </w:style>
  <w:style w:type="numbering" w:styleId="901">
    <w:name w:val="Нет списка"/>
    <w:next w:val="901"/>
    <w:link w:val="890"/>
    <w:semiHidden/>
  </w:style>
  <w:style w:type="paragraph" w:styleId="902">
    <w:name w:val="Основной текст с отступом"/>
    <w:basedOn w:val="890"/>
    <w:next w:val="902"/>
    <w:link w:val="890"/>
    <w:pPr>
      <w:ind w:firstLine="900"/>
      <w:jc w:val="both"/>
    </w:pPr>
    <w:rPr>
      <w:sz w:val="28"/>
    </w:rPr>
  </w:style>
  <w:style w:type="paragraph" w:styleId="903">
    <w:name w:val="Основной текст 3"/>
    <w:basedOn w:val="890"/>
    <w:next w:val="903"/>
    <w:link w:val="890"/>
    <w:pPr>
      <w:spacing w:after="120"/>
    </w:pPr>
    <w:rPr>
      <w:sz w:val="16"/>
      <w:szCs w:val="16"/>
    </w:rPr>
  </w:style>
  <w:style w:type="character" w:styleId="904">
    <w:name w:val="Гиперссылка"/>
    <w:next w:val="904"/>
    <w:link w:val="890"/>
    <w:rPr>
      <w:color w:val="0000ff"/>
      <w:u w:val="single"/>
    </w:rPr>
  </w:style>
  <w:style w:type="paragraph" w:styleId="905">
    <w:name w:val="Текст выноски"/>
    <w:basedOn w:val="890"/>
    <w:next w:val="905"/>
    <w:link w:val="890"/>
    <w:semiHidden/>
    <w:rPr>
      <w:rFonts w:ascii="Tahoma" w:hAnsi="Tahoma" w:cs="Tahoma"/>
      <w:sz w:val="16"/>
      <w:szCs w:val="16"/>
    </w:rPr>
  </w:style>
  <w:style w:type="paragraph" w:styleId="906">
    <w:name w:val="Основной текст с отступом 2"/>
    <w:basedOn w:val="890"/>
    <w:next w:val="906"/>
    <w:link w:val="890"/>
    <w:pPr>
      <w:ind w:left="283"/>
      <w:spacing w:after="120" w:line="480" w:lineRule="auto"/>
    </w:pPr>
  </w:style>
  <w:style w:type="paragraph" w:styleId="907">
    <w:name w:val="Основной текст 2"/>
    <w:basedOn w:val="890"/>
    <w:next w:val="907"/>
    <w:link w:val="890"/>
    <w:pPr>
      <w:jc w:val="both"/>
    </w:pPr>
  </w:style>
  <w:style w:type="paragraph" w:styleId="908">
    <w:name w:val="Верхний колонтитул"/>
    <w:basedOn w:val="890"/>
    <w:next w:val="908"/>
    <w:link w:val="890"/>
    <w:pPr>
      <w:tabs>
        <w:tab w:val="center" w:pos="4677" w:leader="none"/>
        <w:tab w:val="right" w:pos="9355" w:leader="none"/>
      </w:tabs>
    </w:pPr>
  </w:style>
  <w:style w:type="character" w:styleId="909">
    <w:name w:val="Номер страницы"/>
    <w:basedOn w:val="899"/>
    <w:next w:val="909"/>
    <w:link w:val="890"/>
  </w:style>
  <w:style w:type="paragraph" w:styleId="910">
    <w:name w:val="Основной текст"/>
    <w:basedOn w:val="890"/>
    <w:next w:val="910"/>
    <w:link w:val="890"/>
    <w:pPr>
      <w:ind w:right="305"/>
      <w:jc w:val="both"/>
      <w:spacing w:line="360" w:lineRule="auto"/>
    </w:pPr>
    <w:rPr>
      <w:b/>
      <w:bCs/>
      <w:color w:val="000000"/>
      <w:sz w:val="28"/>
      <w:szCs w:val="28"/>
    </w:rPr>
  </w:style>
  <w:style w:type="paragraph" w:styleId="911">
    <w:name w:val=" Знак"/>
    <w:basedOn w:val="890"/>
    <w:next w:val="911"/>
    <w:link w:val="890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12">
    <w:name w:val="Обычный (веб)"/>
    <w:basedOn w:val="890"/>
    <w:next w:val="912"/>
    <w:link w:val="890"/>
    <w:pPr>
      <w:spacing w:before="100" w:beforeAutospacing="1" w:after="100" w:afterAutospacing="1"/>
    </w:pPr>
  </w:style>
  <w:style w:type="character" w:styleId="913">
    <w:name w:val="Строгий"/>
    <w:next w:val="913"/>
    <w:link w:val="890"/>
    <w:qFormat/>
    <w:rPr>
      <w:b/>
      <w:bCs/>
    </w:rPr>
  </w:style>
  <w:style w:type="paragraph" w:styleId="914">
    <w:name w:val="Знак Знак Знак Знак"/>
    <w:basedOn w:val="890"/>
    <w:next w:val="914"/>
    <w:link w:val="8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15">
    <w:name w:val="ConsPlusNormal"/>
    <w:next w:val="915"/>
    <w:link w:val="890"/>
    <w:rPr>
      <w:rFonts w:ascii="Arial" w:hAnsi="Arial" w:cs="Arial"/>
      <w:lang w:val="ru-RU" w:eastAsia="ru-RU" w:bidi="ar-SA"/>
    </w:rPr>
  </w:style>
  <w:style w:type="paragraph" w:styleId="916">
    <w:name w:val="Знак"/>
    <w:basedOn w:val="890"/>
    <w:next w:val="916"/>
    <w:link w:val="89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justic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инспекцию МНС РФ</dc:title>
  <dc:creator>NIGOROZHENKO</dc:creator>
  <cp:revision>80</cp:revision>
  <dcterms:created xsi:type="dcterms:W3CDTF">2024-10-04T05:34:00Z</dcterms:created>
  <dcterms:modified xsi:type="dcterms:W3CDTF">2026-01-22T04:07:15Z</dcterms:modified>
  <cp:version>983040</cp:version>
</cp:coreProperties>
</file>