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455" w:type="dxa"/>
        <w:tblInd w:w="-60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5"/>
        <w:gridCol w:w="6310"/>
        <w:gridCol w:w="7620"/>
      </w:tblGrid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НК РФ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Было </w:t>
            </w:r>
            <w:r>
              <w:rPr>
                <w:rFonts w:ascii="Tinos" w:hAnsi="Tinos" w:cs="Tinos"/>
                <w:b/>
                <w:bCs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Стало </w:t>
            </w:r>
            <w:r>
              <w:rPr>
                <w:rFonts w:ascii="Tinos" w:hAnsi="Tinos" w:cs="Tinos"/>
                <w:b/>
                <w:bCs/>
              </w:rPr>
            </w:r>
          </w:p>
        </w:tc>
      </w:tr>
      <w:tr>
        <w:tblPrEx/>
        <w:trPr/>
        <w:tc>
          <w:tcPr>
            <w:gridSpan w:val="3"/>
            <w:tcW w:w="15455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Государственная регистрация прав</w:t>
            </w:r>
            <w:r>
              <w:rPr>
                <w:rFonts w:ascii="Tinos" w:hAnsi="Tinos" w:eastAsia="Tinos" w:cs="Tinos"/>
                <w:b/>
                <w:bCs/>
                <w:color w:val="ff0000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подп.22 п.1 ст.333.33</w:t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</w:rPr>
            </w:r>
          </w:p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vMerge w:val="restart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государственная регистрация прав, ограничений прав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и обременений объектов недвижимости,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сделок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 объектом недвижимости, если такие сделки подлежат государственной регистрации в соответствии с федеральным законом, за исключением юридически значимых действий, предусмотренных подпунктами 21, 22.1, 22.4, 24 - 26, 26.1, 27.2, 28 - 31, 61 и 80.1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п.1 ст.333.33: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физических лиц:</w:t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не определена или не превышает 20 000 000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рублей: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- 4000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превышает 20 000 000 рублей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, 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- 0,02 процента кадастровой стоимости, определенной в о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тношении этого объекта недвижимости на дату обращения за совершением юридически значимого действия, но не менее 0,02 процента цены сделки, являющейся основанием перехода права собственности на соответствующий объект недвижимости, и не более 500 000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организаций,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за исключением организаций, указанных в абзаце 8 подп.22 п.1 ст.333.33</w:t>
            </w:r>
            <w:r>
              <w:rPr>
                <w:rStyle w:val="740"/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footnoteReference w:id="2"/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: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не определена или не превышает 22 000 000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рублей: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- 44 000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превышает 22 000 000 рублей: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- 0,2 процента кадастровой стоимости, определенной в от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ношении этого объекта недвижимости на дату обращения за совершением юридически значимого действия, но не менее 0,2 процента цены сделки, являющейся основанием перехода права собственности на соответствующий объект недвижимости, и не более 1 000 000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религиозных организаций одного вероисповедания, являющихся сторонами заключенного между ними договора пожертвования недвижимого имущества религиозного назначения6</w:t>
            </w:r>
            <w:r>
              <w:rPr>
                <w:rFonts w:ascii="Tinos" w:hAnsi="Tinos" w:eastAsia="Tinos" w:cs="Tinos"/>
                <w:b/>
                <w:bCs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- 2000 рублей.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Сумма государственной пошлины, подлежащая уплате в % от кад.стоимости или цены сделки, округляется до полных 100 рублей в меньшую сторону.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 w:val="0"/>
                <w:bCs w:val="0"/>
              </w:rPr>
            </w:pPr>
            <w:r>
              <w:rPr>
                <w:rFonts w:ascii="Tinos" w:hAnsi="Tinos" w:eastAsia="Arial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 w:val="0"/>
                <w:bCs w:val="0"/>
              </w:rPr>
            </w:pPr>
            <w:r>
              <w:rPr>
                <w:rFonts w:ascii="Tinos" w:hAnsi="Tinos" w:eastAsia="Arial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cs="Tinos"/>
                <w:b w:val="0"/>
                <w:bCs w:val="0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С 31.07.2025</w:t>
            </w:r>
            <w:r>
              <w:rPr>
                <w:rFonts w:ascii="Tinos" w:hAnsi="Tinos" w:eastAsia="Tinos" w:cs="Tinos"/>
                <w:b/>
                <w:bCs/>
                <w:color w:val="ff000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государственная регистрация прав, ограничений прав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и обременений объектов недвижимости, сделок с об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ъектом недвижимости, если такие сделки подлежат государственной регистрации в соответствии с федеральным законом, за исключением юридически значимых действий, предусмотренных подпунктами 21, 22.1, 22.4, 24 - 26, 26.1, 27.2, 28 - 31, 61 и 80.1 п.1 ст.333.33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физических лиц:</w:t>
            </w:r>
            <w:r>
              <w:rPr>
                <w:b/>
                <w:bCs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или доли в праве общей долевой собственности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если кадастровая стоимость объекта недвижимости не определен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а, объекта недвижимости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или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доли в праве общей долевой собственности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не превышает 20 000 000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- 4000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или доли в праве общей долевой собственности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превышает 20 000 000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- 0,02 процента кадастровой стоимости объекта недвижимости или ее части, соответствующей размеру доли в праве общей долевой собственности на объект недвижимости, определенной в отношении этого объекта недвижимости на дату обращения за совершением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юридически значимого действия, но не менее 0,02 процента цены сделки,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недвижимости, и не более 500 000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организаций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, за исключением организаций, указанных в абзаце 8 подп.1 ст.333.33</w:t>
            </w:r>
            <w:r>
              <w:rPr>
                <w:rStyle w:val="740"/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footnoteReference w:id="3"/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: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или доли в праве общей долевой собственности</w:t>
            </w:r>
            <w:r>
              <w:rPr>
                <w:rFonts w:ascii="Tinos" w:hAnsi="Tinos" w:eastAsia="Tinos" w:cs="Tinos"/>
                <w:b w:val="0"/>
                <w:bCs w:val="0"/>
                <w:color w:val="0070c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если кадастровая стоимость объекта недвижимости не определена,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объекта недвижимости или доли в праве общей долевой собственности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не превышает 22 000 000 рублей</w:t>
            </w:r>
            <w:r>
              <w:rPr>
                <w:rFonts w:ascii="Tinos" w:hAnsi="Tinos" w:eastAsia="Tinos" w:cs="Tinos"/>
                <w:b w:val="0"/>
                <w:bCs w:val="0"/>
                <w:u w:val="singl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- 44 000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или доли в праве общей долевой собственности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превышает 22 000 000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- 0,2 процента кадастровой стоимости объекта недвижимости или ее части, соответствующей размеру доли в праве общей долевой собственности на объект недвижимости, определенной в отношении этого объекта недвижимости на дату обращения за совершением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юридически значимого действия, но не менее 0,2 процента цены сделки,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недвижимости, и не более 1 000 000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религиозных организаций одного вероисповедания, являющихся сторонами заключенного между ними договора пожертвования недвижимого имущества религиозного назначения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- 2000 рублей.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Сумма государственной пошлины, подлежащая уплате в % от кад.стоимости или цены сделки, округляется до полных 100 рублей в меньшую сторону.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 w:val="0"/>
                <w:bCs w:val="0"/>
              </w:rPr>
            </w:pPr>
            <w:r>
              <w:rPr>
                <w:rFonts w:ascii="Tinos" w:hAnsi="Tinos" w:eastAsia="Arial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cs="Tinos"/>
                <w:b w:val="0"/>
                <w:bCs w:val="0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</w:tc>
        <w:tc>
          <w:tcPr>
            <w:tcW w:w="6310" w:type="dxa"/>
            <w:vMerge w:val="continue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cs="Tinos"/>
                <w:b/>
                <w:bCs/>
                <w:highlight w:val="none"/>
              </w:rPr>
            </w:pPr>
            <w:r>
              <w:rPr>
                <w:rFonts w:ascii="Tinos" w:hAnsi="Tinos" w:eastAsia="Arial" w:cs="Tinos"/>
                <w:b/>
                <w:bCs/>
                <w:sz w:val="22"/>
                <w:szCs w:val="22"/>
                <w:lang w:val="ru-RU" w:eastAsia="en-US" w:bidi="ar-SA"/>
              </w:rPr>
              <w:t xml:space="preserve">С 31.08.2025</w:t>
            </w:r>
            <w:r>
              <w:rPr>
                <w:rFonts w:ascii="Tinos" w:hAnsi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государственная регистрация прав, ограничений прав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и обремен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ений объектов недвижимости, сделок с объектом недвижимости, если такие сделки подлежат государственной регистрации в соответствии с федеральным законом, за исключением юридически значимых действий, предусмотренных подпунктами 21, 22.1, 22.4, 24 - 26, 26.1,</w:t>
            </w:r>
            <w:r>
              <w:rPr>
                <w:rFonts w:ascii="Tinos" w:hAnsi="Tinos" w:eastAsia="Tinos" w:cs="Tinos"/>
                <w:b w:val="0"/>
                <w:bCs w:val="0"/>
                <w:color w:val="0070c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26.2,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27.2, 28 - 31, 61 и 80.1 п.1 ст.333.33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физических лиц:</w:t>
            </w:r>
            <w:r>
              <w:rPr>
                <w:rFonts w:ascii="Tinos" w:hAnsi="Tinos" w:eastAsia="Tinos" w:cs="Tinos"/>
                <w:b/>
                <w:bCs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или доли в праве общей долевой собственности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если кадастровая стоимость объекта недвижимости не определен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а, объекта недвижимости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или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доли в праве общей долевой собственности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не превышает 20 000 000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- 4000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или доли в праве общей долевой собственности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превышает 20 000 000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- 0,02 процента кадастровой стоимости объекта недвижимости или ее части, соответствующей размеру доли в праве общей долевой собственности на объект недвижимости, определенной в отношении этого объекта недвижимости на дату обращения за совершением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юридически значимого действия, но не менее 0,02 процента цены сделки,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недвижимости, и не более 500 000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организаций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, за исключением организаций, указанных в абзаце в8 подп.1 ст.333.33</w:t>
            </w:r>
            <w:r>
              <w:rPr>
                <w:rStyle w:val="740"/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footnoteReference w:id="4"/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или доли в праве общей долевой собственности</w:t>
            </w:r>
            <w:r>
              <w:rPr>
                <w:rFonts w:ascii="Tinos" w:hAnsi="Tinos" w:eastAsia="Tinos" w:cs="Tinos"/>
                <w:b w:val="0"/>
                <w:bCs w:val="0"/>
                <w:color w:val="0070c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если кадастровая стоимость объекта недвижимости не определена,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объекта недвижимости или доли в праве общей долевой собственности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не превышает 22 000 000 рублей</w:t>
            </w:r>
            <w:r>
              <w:rPr>
                <w:rFonts w:ascii="Tinos" w:hAnsi="Tinos" w:eastAsia="Tinos" w:cs="Tinos"/>
                <w:b w:val="0"/>
                <w:bCs w:val="0"/>
                <w:u w:val="singl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- 44 000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или доли в праве общей долевой собственности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превышает 22 000 000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- 0,2 процента кадастровой стоимости объекта недвижимости или ее части, соответствующей размеру доли в праве общей долевой собственности на объект недвижимости, определенной в отношении этого объекта недвижимости на дату обращения за совершением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юридически значимого действия, но не менее 0,2 процента цены сделки,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недвижимости, и не более 1 000 000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религиозных организаций одного вероисповедания, являющихся сторонами заключенного между ними договора пожертвования недвижимого имущества религиозного назначения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- 2000 рублей.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Сумма государственной пошлины, подлежащая уплате в % от кад.стоимости или цены сделки, округляется до полных 100 рублей в меньшую сторону.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Arial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</w:tr>
      <w:tr>
        <w:tblPrEx/>
        <w:trPr>
          <w:trHeight w:val="2693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подп.22.1 п.1 ст.333.33 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государственная регистрация права общей долевой собственности владельцев инвестиционных паев на недвижимое имущество, составляющее ПИФ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(приобретаемое для включения в состав ПИФа), ограничения этого права и обременений данного имущества или сделок с данным имуществом: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не определена или не превышает 22 000 000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рублей: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- 44 000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превышает 22 000 000 рублей: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- 0,2 процента кадастровой стоимости, определенной в от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ношении этого объекта недвижимости на дату обращения за совершением юридически значимого действия, но не менее 0,2 процента цены сделки, являющейся основанием перехода права собственности на соответствующий объект недвижимости, и не более 1 000 000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предприятия как имущественного комплекса: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- 0,2 процента стоимости имущества, имущественных и иных прав, входящих в состав предприятия как имущест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венного комплекса, определенной на дату обращения за совершением юридически значимого действия, но не менее 0,2 процента цены сделки, являющейся основанием перехода права собственности на предприятие как имущественный комплекс, и не более 1 000 000 рублей.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Сумма государственной пошлины, подлежащая уплате в % от кад.стоимости или цены сделки округляется до полных 100 рублей в меньшую сторону.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С 31.07.2025</w:t>
            </w:r>
            <w:r>
              <w:rPr>
                <w:rFonts w:ascii="Tinos" w:hAnsi="Tinos" w:eastAsia="Tinos" w:cs="Tinos"/>
                <w:b/>
                <w:bCs/>
                <w:color w:val="ff000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государственная регистрация права общей долевой собственности владельцев инвестиционных паев на недвижимое имущество, составляющее ПИФ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(приобретаемое для включения в состав ПИФа), ограничения этого права и обременений данного имущества или сделок с данным имуществом: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u w:val="none"/>
                <w:lang w:val="ru-RU" w:eastAsia="en-US" w:bidi="ar-SA"/>
              </w:rPr>
              <w:t xml:space="preserve">или доли в праве общей долевой собственности на объект недвижимости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, если кадастровая стоимость объекта недвижимости не определена,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объекта недвижимости или доли в праве общей долевой собственности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не превышает 22 000 000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- 44 000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или доли в праве общей долевой собственности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на объект недвижимости,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u w:val="single"/>
                <w:lang w:val="ru-RU" w:eastAsia="en-US" w:bidi="ar-SA"/>
              </w:rPr>
              <w:t xml:space="preserve">кадастровая стоимость которого или ее часть, соответствующая размеру доли в праве общей долевой собственности на объект недвижимости, превышает 22 000 000 рублей</w:t>
            </w:r>
            <w:r>
              <w:rPr>
                <w:rFonts w:ascii="Tinos" w:hAnsi="Tinos" w:eastAsia="Tinos" w:cs="Tinos"/>
                <w:b w:val="0"/>
                <w:bCs w:val="0"/>
                <w:u w:val="singl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- 0,2 процента кадастровой стоимости объекта недвижимости или ее части, соответствующей размеру доли в праве общей долевой собственности на объект недвижимости, определенной в отношении этого объекта недвижимости на дату обращения за совершением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юридически значимого действия, но не менее 0,2 процента цены сделки,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недвижимости, и не более 1 000 000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предприятия как имущественного комплекса: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- 0,2 процента стоимости имущества, имущественных и иных прав, входящих в состав предприятия как имущест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венного комплекса, определенной на дату обращения за совершением юридически значимого действия, но не менее 0,2 процента цены сделки, являющейся основанием перехода права собственности на предприятие как имущественный комплекс, и не более 1 000 000 рублей.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Сумма государственной пошлины, подлежащая уплате в % от кад.стоимости или цены сделки округляется до полных 100 рублей в меньшую сторону.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Arial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</w:tr>
      <w:tr>
        <w:tblPrEx/>
        <w:trPr>
          <w:trHeight w:val="2693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подп.24 п.1 ст.333.33 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государственная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регистрация права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собственности физического лица на земельный участок для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ведения личного подсобного хозяйства, огородничества, садоводства, индивидуального гаражного или индивидуального жилищного строительства, либо на создаваемый или созданный на таком земельном участке объект недвижимого имуществ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а: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700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С 31.07.2025</w:t>
            </w:r>
            <w:r>
              <w:rPr>
                <w:rFonts w:ascii="Tinos" w:hAnsi="Tinos" w:eastAsia="Tinos" w:cs="Tinos"/>
                <w:b/>
                <w:bCs/>
                <w:color w:val="ff000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государственная регистрация права собственности физического лица на земельный участок, предназначенный для ведения личного подсобного хозяйства, </w:t>
            </w:r>
            <w:r>
              <w:rPr>
                <w:rFonts w:ascii="Tinos" w:hAnsi="Tinos" w:eastAsia="Tinos" w:cs="Tinos"/>
                <w:b w:val="0"/>
                <w:bCs w:val="0"/>
                <w:color w:val="0070c0"/>
                <w:sz w:val="22"/>
                <w:szCs w:val="22"/>
                <w:lang w:val="ru-RU" w:eastAsia="en-US" w:bidi="ar-SA"/>
              </w:rPr>
              <w:t xml:space="preserve">ведения гражданами садоводства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или огородничества </w:t>
            </w:r>
            <w:r>
              <w:rPr>
                <w:rFonts w:ascii="Tinos" w:hAnsi="Tinos" w:eastAsia="Tinos" w:cs="Tinos"/>
                <w:b w:val="0"/>
                <w:bCs w:val="0"/>
                <w:color w:val="0070c0"/>
                <w:sz w:val="22"/>
                <w:szCs w:val="22"/>
                <w:lang w:val="ru-RU" w:eastAsia="en-US" w:bidi="ar-SA"/>
              </w:rPr>
              <w:t xml:space="preserve">для собственных нужд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, индивидуального гаражного или индивидуального жилищного строительства,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осуществления крестьянским (фермерским) хозяйством своей деятельности,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либо на создаваемый или созданный на таком земельном участке объект недвижимого имущества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700 рублей</w:t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</w:tr>
      <w:tr>
        <w:tblPrEx/>
        <w:trPr>
          <w:trHeight w:val="708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14:ligatures w14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подп.25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  <w14:ligatures w14:val="none"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го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сударственную регистрацию прав, ограничений прав и обременений земельных участков из земель сельскохозяйственного назначения, сделок с такими земельными участками, если данные сделки подлежат государственной регистрации в соответствии с федеральным законом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- 700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</w:tc>
      </w:tr>
      <w:tr>
        <w:tblPrEx/>
        <w:trPr>
          <w:trHeight w:val="590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14:ligatures w14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подп.26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  <w14:ligatures w14:val="none"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государственную регистрацию доли в праве общей собственности на земельные участки из земель сельскохозяйственного назначения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200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ff000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r>
          </w:p>
        </w:tc>
      </w:tr>
      <w:tr>
        <w:tblPrEx/>
        <w:trPr>
          <w:trHeight w:val="1357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подп.26.1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государственную регистрацию прав, ограничений прав и обременений объектов сетей газораспределения и сетей газопотребления, созданных при выполнении мероприятий по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подключению (технологическому присоединению) объектов капитального строительства, а также за государственную регистрацию сделок с указанными объектами недвижимости, если такие сделки подлежат государственной регистрации в соответствии с федеральным законом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2 000 рублей 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</w:tc>
      </w:tr>
      <w:tr>
        <w:tblPrEx/>
        <w:trPr>
          <w:trHeight w:val="982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подп.27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внесение изменений в записи Единого государственного реестра недвижимости о правах, об ограничениях прав и обременениях недвижимого имущества, за исключением юридически значимых действий, предусмотренных подпунктом 28.1</w:t>
            </w:r>
            <w:r>
              <w:rPr>
                <w:rStyle w:val="740"/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footnoteReference w:id="5"/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пункта 1 ст.333.33: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 - 700 рублей 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организаций - 2000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ff000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r>
          </w:p>
        </w:tc>
      </w:tr>
      <w:tr>
        <w:tblPrEx/>
        <w:trPr>
          <w:trHeight w:val="841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подп.27.1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государственную регистрацию перехода права собственности на объект недвижимости в связи с реорганизацией юридического лица в форме преобразования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2000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ff000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r>
          </w:p>
        </w:tc>
      </w:tr>
      <w:tr>
        <w:tblPrEx/>
        <w:trPr>
          <w:trHeight w:val="2693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подп.27.2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государственную регистрацию: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договоров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аренды, уступки прав требования по договорам аренды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, если такие договоры подлежат регистрации в Едином государственном реестре недвижимости: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 - 4000 рублей;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организаций - 44 000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соглашения об изменении или о расторжении договора аренды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, если такой договор зарегистрирован в Едином государственном реестре недвижимости: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 - 700 рублей;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организаций - 2000 рублей;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С 31.08.2025</w:t>
            </w:r>
            <w:r>
              <w:rPr>
                <w:rFonts w:ascii="Tinos" w:hAnsi="Tinos" w:eastAsia="Tinos" w:cs="Tinos"/>
                <w:b/>
                <w:bCs/>
                <w:color w:val="ff000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за государственную регистрацию: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  <w:color w:val="000000" w:themeColor="text1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договоров аренды,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безвозмездного пользования, в том числе договоров аренды, безвозмездного пользования частями объектов недвижимости, регистрация которых осуществляется одновременно с государственным кадастровым учетом таких частей объектов недвижимости</w:t>
            </w:r>
            <w:r>
              <w:rPr>
                <w:rFonts w:ascii="Tinos" w:hAnsi="Tinos" w:eastAsia="Tinos" w:cs="Tinos"/>
                <w:b w:val="0"/>
                <w:bCs w:val="0"/>
                <w:color w:val="0070c0"/>
                <w:sz w:val="22"/>
                <w:szCs w:val="22"/>
                <w:lang w:val="ru-RU" w:eastAsia="en-US" w:bidi="ar-SA"/>
              </w:rPr>
              <w:t xml:space="preserve">,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уступки прав требования по договорам аренды,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безвозмездного пользования,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 если такие договоры подлежат регистрации в Едином государственном реестре недвижимости: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  <w:color w:val="000000" w:themeColor="text1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для физических лиц - 4000 рублей;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  <w:color w:val="000000" w:themeColor="text1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для организаций - 44 000 рублей;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  <w:color w:val="000000" w:themeColor="text1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соглашения об изменении или о расторжении договора аренды,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безвозмездного пользования,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если такой договор зарегистрирован в Едином государственном реестре недвижимости: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  <w:color w:val="000000" w:themeColor="text1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для физических лиц - 700 рублей;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для организаций - 2000 рублей;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1134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подп.28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государственную регистрацию, за исключением юридически значимых действий, предусмотренных подпунктами 25</w:t>
            </w:r>
            <w:r>
              <w:rPr>
                <w:rStyle w:val="740"/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footnoteReference w:id="6"/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и 61</w:t>
            </w:r>
            <w:r>
              <w:rPr>
                <w:rStyle w:val="740"/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footnoteReference w:id="7"/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настоящего пункта, ипотеки, включая внесение в Единый государственный реестр недвижимости записи об ипотеке как обременении объекта недвижимости:</w:t>
            </w:r>
            <w:r>
              <w:rPr>
                <w:rFonts w:ascii="Tinos" w:hAnsi="Tinos" w:eastAsia="Tinos" w:cs="Tinos"/>
                <w:b/>
                <w:bCs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 - 1 000 рублей</w:t>
            </w:r>
            <w:r>
              <w:rPr>
                <w:rFonts w:ascii="Tinos" w:hAnsi="Tinos" w:eastAsia="Tinos" w:cs="Tinos"/>
                <w:b/>
                <w:bCs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организаций - 4 000 рублей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</w:tr>
      <w:tr>
        <w:tblPrEx/>
        <w:trPr>
          <w:trHeight w:val="1833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подп.28.1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внесение изменений и дополнений в регистрационную запись об ипотеке: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 - 400 рублей;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организаций - 1200 рублей.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случае, если договор об ипотеке или договор, включающий соглашение об ипотеке, обеспечивающее исполнение обязательства, за исключением договора, влекущего возникновение ипотеки на осн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овании закона, заключен между физическим лицом и юридическим лицом, государственная пошлина за юридически значимые действия, предусмотренные подпунктом 28 п.1 ст.333.33 и подпунктом 28.1 п.1 ст.333.33, взимается в размерах, установленных для физических лиц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</w:tc>
      </w:tr>
      <w:tr>
        <w:tblPrEx/>
        <w:trPr>
          <w:trHeight w:val="1549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подп.29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государственную регистрацию: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смены залогодержателя вследствие уступки прав по основн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ому обязательству, обеспеченному ипотекой, либо по договору об ипотеке, в том числе сделки по уступке прав требования, включая внесение в Единый государственный реестр недвижимости записи об ипотеке, осуществляемой при смене залогодержателя, - 2000 рублей;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смены владельца закладной, в том числе сделки по уступке прав требования, включая внесение в Единый государственный реестр недвижимости записи об ипотеке, осуществляемой при смене владельца закладной, - 1000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ff000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r>
          </w:p>
        </w:tc>
      </w:tr>
      <w:tr>
        <w:tblPrEx/>
        <w:trPr>
          <w:trHeight w:val="1752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подп.30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государственную регистрацию: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договора участия в долевом строительстве: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 - 700 рублей;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организаций - 12 000 рублей;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соглашения об изменении или о расторжении договора участия в долевом строительстве, уступки прав требования по договору участия в долевом строительстве, включая внесение соответствующих изменений в Единый государственный реестр недвижимости, - 350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ff000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color w:val="ff0000"/>
                <w:highlight w:val="none"/>
              </w:rPr>
            </w:r>
          </w:p>
        </w:tc>
      </w:tr>
      <w:tr>
        <w:tblPrEx/>
        <w:trPr>
          <w:trHeight w:val="2693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подп.31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за государственную регистрацию сервитутов:</w:t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интересах физических лиц - 1 500 рублей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интересах организаций - 6 000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  <w:highlight w:val="white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highlight w:val="white"/>
                <w:lang w:val="ru-RU" w:eastAsia="en-US" w:bidi="ar-SA"/>
              </w:rPr>
              <w:t xml:space="preserve">С 31.08.2025</w:t>
            </w:r>
            <w:r>
              <w:rPr>
                <w:rFonts w:ascii="Tinos" w:hAnsi="Tinos" w:eastAsia="Tinos" w:cs="Tinos"/>
                <w:b/>
                <w:bCs/>
                <w:color w:val="ff0000"/>
                <w:highlight w:val="whit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0070c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за государственную регистрацию сервитутов,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в том числе сервитутов, предусматривающих право ограниченного пользования частями земельных участков, государственная регистрация которых осуществляется одновременно с государственным кадастровым учетом таких частей земельных участков:</w:t>
            </w:r>
            <w:r>
              <w:rPr>
                <w:rFonts w:ascii="Tinos" w:hAnsi="Tinos" w:eastAsia="Tinos" w:cs="Tinos"/>
                <w:b/>
                <w:bCs/>
                <w:color w:val="0070c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  <w:color w:val="000000" w:themeColor="text1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в интересах физических лиц - 1 500 рублей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color w:val="000000" w:themeColor="text1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</w:rPr>
              <w:t xml:space="preserve">в интересах организаций - 6 000 рублей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527"/>
        </w:trPr>
        <w:tc>
          <w:tcPr>
            <w:gridSpan w:val="3"/>
            <w:tcW w:w="15455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Государственный кадастровый учет</w:t>
            </w:r>
            <w:r>
              <w:rPr>
                <w:rFonts w:ascii="Tinos" w:hAnsi="Tinos" w:eastAsia="Tinos" w:cs="Tinos"/>
                <w:b/>
                <w:bCs/>
                <w:color w:val="ff0000"/>
                <w:highlight w:val="none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подп.22.2 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ГКУ созданных (образованных) объектов недвижимости без одновременной государственной регистрации прав, за исключением юридически значимых действий, предусмотренных подп.22.3</w:t>
            </w:r>
            <w:r>
              <w:rPr>
                <w:rStyle w:val="740"/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footnoteReference w:id="8"/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п.1 ст.333.33 НК РФ: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 - 2000 рублей</w:t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организаций - 22 000 рублей</w:t>
            </w:r>
            <w:r>
              <w:rPr>
                <w:rFonts w:ascii="Tinos" w:hAnsi="Tinos" w:cs="Tinos"/>
                <w:b w:val="0"/>
                <w:bCs w:val="0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С 31.08.2025</w:t>
            </w:r>
            <w:r>
              <w:rPr>
                <w:rFonts w:ascii="Tinos" w:hAnsi="Tinos" w:eastAsia="Tinos" w:cs="Tinos"/>
                <w:b/>
                <w:bCs/>
                <w:color w:val="ff000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ГКУ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создаваемых,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созданных (образованных) объектов недвижимости без одновременной государственной регистрации прав, за исключением юридически значимых действий, предусмотренных подпунктом 22.3 п.1 ст.333.33 НК РФ: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 - 2000 рублей</w:t>
            </w:r>
            <w:r>
              <w:rPr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организаций - 22 000 рублей</w:t>
            </w:r>
            <w:r>
              <w:rPr>
                <w:rFonts w:ascii="Tinos" w:hAnsi="Tinos" w:cs="Tinos"/>
                <w:b w:val="0"/>
                <w:bCs w:val="0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подп.22.3 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государственный кадастровый учет в связи с изменением сведений об объекте недвижимости:</w:t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 - 1000 рублей;</w:t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организаций - 2000 рублей</w:t>
            </w:r>
            <w:r>
              <w:rPr>
                <w:rFonts w:ascii="Tinos" w:hAnsi="Tinos" w:cs="Tinos"/>
                <w:b w:val="0"/>
                <w:bCs w:val="0"/>
              </w:rPr>
            </w:r>
          </w:p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Arial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подп.24 п.1 ст.333.33 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С 31.07.2025</w:t>
            </w:r>
            <w:r>
              <w:rPr>
                <w:rFonts w:ascii="Tinos" w:hAnsi="Tinos" w:eastAsia="Tinos" w:cs="Tinos"/>
                <w:b/>
                <w:bCs/>
                <w:color w:val="ff000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государственный кадастровый учет</w:t>
            </w:r>
            <w:r>
              <w:rPr>
                <w:rFonts w:ascii="Tinos" w:hAnsi="Tinos" w:eastAsia="Tinos" w:cs="Tinos"/>
                <w:b w:val="0"/>
                <w:bCs w:val="0"/>
                <w:color w:val="0070c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 на земельный участок, предназначенный для ведения личного подсобного хозяйства, ведения гражданами садоводства или огородничества для собственных нужд, индивидуального гаражного или индивидуального жилищного строительства,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осуществления крестьянским (фермерским) хозяйством своей деятельности,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либо на создаваемый или созданный на таком земельном участке объект недвижимого имуществ: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для физических лиц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700 рублей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  <w:lang w:val="ru-RU" w:eastAsia="en-US" w:bidi="ar-SA"/>
              </w:rPr>
            </w: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3"/>
            <w:tcW w:w="15455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cs="Tinos"/>
                <w:b/>
                <w:bCs/>
                <w:color w:val="ff0000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Единое окно</w:t>
            </w:r>
            <w:r>
              <w:rPr>
                <w:rFonts w:ascii="Tinos" w:hAnsi="Tinos" w:cs="Tinos"/>
                <w:b/>
                <w:bCs/>
                <w:color w:val="ff0000"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подп.21 п.1 ст.333.33 </w:t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ГКУ и ГРП на ПИК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, а также  государственная регистрация перехода прав на ПИК, сделок с ПИК, если такие сделки подлежат государственной регистрации в соответствии с федеральным законом, ограничений прав и обременений предприятия как имущественного комплекса 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- 0,2 процента стоимости имущества, имущественных и иных прав, входящих в состав предприятия как имущес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твенного комплекса, определенной на дату обращения за совершением юридически значимого действия, но не менее 0,2 процента цены сделки, являющейся основанием перехода права собственности на предприятие как имущественный комплекс, и не более 1 000 000 рублей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Arial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подп.22.4 п.1 ст.333.33 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осуществляемые одновременно ГКУ и ГРП  прав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на созданные (образованные) объекты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недвижимости: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физических лиц:</w:t>
            </w:r>
            <w:r>
              <w:rPr>
                <w:b/>
                <w:bCs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кадастровая стоимость которого не определена или не превышает 20 000 000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6000 рублей;</w:t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кадастровая стоимость которого превышает 20 000 000 рублей, - в размере суммы государственной пошлины, исчисленной в соответствии с абзацем четвертым подпункта 22 настоящего пункта и увеличенной на 2000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организаций:</w:t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кадастровая стоимость которого не определена или не превышает 22 000 000 рублей: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66 000 рублей;</w:t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отношении объекта недвижимости, кадастровая стоимость которого превышает 22 000 000 рублей: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 размере суммы государственной пошлины, исчисленной в соответствии с абзацем седьмым подпункта 22 настоящего пункта и увеличенной на 22 000 рублей;</w:t>
            </w:r>
            <w:r>
              <w:rPr>
                <w:rFonts w:ascii="Tinos" w:hAnsi="Tinos" w:cs="Tinos"/>
                <w:b w:val="0"/>
                <w:bCs w:val="0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b w:val="0"/>
                <w:bCs w:val="0"/>
                <w:color w:val="ff0000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С 31.08.2025</w:t>
            </w:r>
            <w:r>
              <w:rPr>
                <w:b w:val="0"/>
                <w:bCs w:val="0"/>
                <w:color w:val="ff000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осуществляемые одновременно государственный кадастровый учет и государственную регистрацию прав на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создаваемые,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созданные (образованные) объекты недвижимости, за исключением юридически значимых действий, предусмотренных подпунктом 26.2 настоящего пункта: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физических лиц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6000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для организаций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66 000 рублей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Arial" w:cs="Tinos"/>
                <w:b/>
                <w:bCs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подп.24.1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осуществляемые одновременно ГКУ и ГРП собственности физического лица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на земельный участок для ведения личного подсобного хозяйства, огородничества, садоводства,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- 1000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С 31.07.2025</w:t>
            </w:r>
            <w:r>
              <w:rPr>
                <w:rFonts w:ascii="Tinos" w:hAnsi="Tinos" w:eastAsia="Tinos" w:cs="Tinos"/>
                <w:b/>
                <w:bCs/>
                <w:color w:val="ff000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осуществляемые одновременно государственный кадастровый учет и государственную регистрацию права собственности физического лица на земельный участок, предназначенный для ведения личного подсобного хозяйства, </w:t>
            </w:r>
            <w:r>
              <w:rPr>
                <w:rFonts w:ascii="Tinos" w:hAnsi="Tinos" w:eastAsia="Tinos" w:cs="Tinos"/>
                <w:b w:val="0"/>
                <w:bCs w:val="0"/>
                <w:color w:val="0070c0"/>
                <w:sz w:val="22"/>
                <w:szCs w:val="22"/>
                <w:lang w:val="ru-RU" w:eastAsia="en-US" w:bidi="ar-SA"/>
              </w:rPr>
              <w:t xml:space="preserve">ведения гражданами садоводства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или огородничества д</w:t>
            </w:r>
            <w:r>
              <w:rPr>
                <w:rFonts w:ascii="Tinos" w:hAnsi="Tinos" w:eastAsia="Tinos" w:cs="Tinos"/>
                <w:b w:val="0"/>
                <w:bCs w:val="0"/>
                <w:color w:val="0070c0"/>
                <w:sz w:val="22"/>
                <w:szCs w:val="22"/>
                <w:lang w:val="ru-RU" w:eastAsia="en-US" w:bidi="ar-SA"/>
              </w:rPr>
              <w:t xml:space="preserve">ля собственных нужд,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индивидуального гаражного или индивидуального жилищного строительства, </w:t>
            </w:r>
            <w:r>
              <w:rPr>
                <w:rFonts w:ascii="Tinos" w:hAnsi="Tinos" w:eastAsia="Tinos" w:cs="Tinos"/>
                <w:b/>
                <w:bCs/>
                <w:color w:val="0070c0"/>
                <w:sz w:val="22"/>
                <w:szCs w:val="22"/>
                <w:lang w:val="ru-RU" w:eastAsia="en-US" w:bidi="ar-SA"/>
              </w:rPr>
              <w:t xml:space="preserve">осуществления крестьянским (фермерским) хозяйством своей деятельности,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либо на создаваемый или созданный на таком земельном участке объект недвижимого имущества - 1000 рублей;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</w:tc>
      </w:tr>
      <w:tr>
        <w:tblPrEx/>
        <w:trPr>
          <w:trHeight w:val="648"/>
        </w:trPr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подп.25.1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gridSpan w:val="2"/>
            <w:tcW w:w="1393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за осуществляемые одновременно государственный кадастровый учет и государственную регистрацию прав на земельный участок из земель сельскохозяйственного назначения - 1000 рублей</w:t>
            </w:r>
            <w:r>
              <w:rPr>
                <w:rFonts w:ascii="Tinos" w:hAnsi="Tinos" w:eastAsia="Tinos" w:cs="Tinos"/>
                <w:b/>
                <w:bCs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  <w:r>
              <w:rPr>
                <w:rFonts w:ascii="Tinos" w:hAnsi="Tinos" w:eastAsia="Tinos" w:cs="Tinos"/>
                <w:b/>
                <w:bCs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</w:tr>
      <w:tr>
        <w:tblPrEx/>
        <w:trPr/>
        <w:tc>
          <w:tcPr>
            <w:tcW w:w="152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подп.26.2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val="ru-RU" w:eastAsia="en-US" w:bidi="ar-SA"/>
              </w:rPr>
              <w:t xml:space="preserve">п.1 ст.333.33</w:t>
            </w:r>
            <w:r>
              <w:rPr>
                <w:rFonts w:ascii="Tinos" w:hAnsi="Tinos" w:eastAsia="Tinos" w:cs="Tinos"/>
                <w:b/>
                <w:bCs/>
              </w:rPr>
            </w:r>
          </w:p>
        </w:tc>
        <w:tc>
          <w:tcPr>
            <w:tcW w:w="6310" w:type="dxa"/>
            <w:textDirection w:val="lrTb"/>
            <w:noWrap w:val="false"/>
          </w:tcPr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</w:tc>
        <w:tc>
          <w:tcPr>
            <w:tcW w:w="7620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line="240" w:lineRule="auto"/>
              <w:widowControl/>
              <w:rPr>
                <w:rFonts w:ascii="Tinos" w:hAnsi="Tinos" w:eastAsia="Tinos" w:cs="Tinos"/>
                <w:b/>
                <w:bCs/>
                <w:color w:val="ff0000"/>
              </w:rPr>
            </w:pPr>
            <w:r>
              <w:rPr>
                <w:rFonts w:ascii="Tinos" w:hAnsi="Tinos" w:eastAsia="Tinos" w:cs="Tinos"/>
                <w:b/>
                <w:bCs/>
                <w:color w:val="ff0000"/>
                <w:sz w:val="22"/>
                <w:szCs w:val="22"/>
                <w:lang w:val="ru-RU" w:eastAsia="en-US" w:bidi="ar-SA"/>
              </w:rPr>
              <w:t xml:space="preserve">С 31.08.2025</w:t>
            </w:r>
            <w:r>
              <w:rPr>
                <w:rFonts w:ascii="Tinos" w:hAnsi="Tinos" w:eastAsia="Tinos" w:cs="Tinos"/>
                <w:b/>
                <w:bCs/>
                <w:color w:val="ff000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осуществляемые однов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ременно государственный кадастровый учет и государственную регистрацию прав на объекты сетей газораспределения и сетей газопотребления, созданные при выполнении мероприятий по подключению (технологическому присоединению) объектов капитального строительства</w:t>
            </w:r>
            <w:r>
              <w:rPr>
                <w:rFonts w:ascii="Tinos" w:hAnsi="Tinos" w:eastAsia="Tinos" w:cs="Tinos"/>
                <w:b w:val="0"/>
                <w:bCs w:val="0"/>
              </w:rPr>
            </w:r>
          </w:p>
          <w:p>
            <w:pPr>
              <w:pStyle w:val="711"/>
              <w:jc w:val="both"/>
              <w:spacing w:before="0" w:after="0" w:line="240" w:lineRule="auto"/>
              <w:widowControl/>
              <w:rPr>
                <w:rFonts w:ascii="Tinos" w:hAnsi="Tinos" w:eastAsia="Tinos" w:cs="Tinos"/>
                <w:b w:val="0"/>
                <w:bCs w:val="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4000 рублей</w:t>
            </w:r>
            <w:r>
              <w:rPr>
                <w:rFonts w:ascii="Tinos" w:hAnsi="Tinos" w:eastAsia="Tinos" w:cs="Tinos"/>
                <w:b w:val="0"/>
                <w:bCs w:val="0"/>
                <w:highlight w:val="none"/>
              </w:rPr>
            </w:r>
          </w:p>
        </w:tc>
      </w:tr>
    </w:tbl>
    <w:p>
      <w:pPr>
        <w:pStyle w:val="711"/>
      </w:pPr>
      <w:r/>
      <w:r/>
    </w:p>
    <w:p>
      <w:pPr>
        <w:pStyle w:val="711"/>
        <w:jc w:val="left"/>
        <w:spacing w:before="0" w:beforeAutospacing="0" w:after="200" w:afterAutospacing="0" w:line="276" w:lineRule="auto"/>
        <w:widowControl/>
      </w:pPr>
      <w:r/>
      <w:r/>
    </w:p>
    <w:sectPr>
      <w:footnotePr>
        <w:numFmt w:val="decimal"/>
      </w:footnotePr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757"/>
        <w:ind w:left="-567" w:right="0" w:firstLine="709"/>
        <w:jc w:val="both"/>
        <w:spacing w:before="0" w:after="40"/>
        <w:widowControl w:val="off"/>
        <w:rPr>
          <w:rFonts w:ascii="Tinos" w:hAnsi="Tinos" w:cs="Tinos"/>
          <w:sz w:val="20"/>
          <w:szCs w:val="20"/>
        </w:rPr>
      </w:pPr>
      <w:r>
        <w:rPr>
          <w:rStyle w:val="739"/>
        </w:rPr>
        <w:footnoteRef/>
      </w:r>
      <w:r>
        <w:rPr>
          <w:rFonts w:ascii="Tinos" w:hAnsi="Tinos" w:eastAsia="Tinos" w:cs="Tinos"/>
          <w:sz w:val="20"/>
          <w:szCs w:val="20"/>
        </w:rPr>
        <w:t xml:space="preserve"> </w:t>
      </w:r>
      <w:r>
        <w:rPr>
          <w:rFonts w:ascii="Tinos" w:hAnsi="Tinos" w:eastAsia="Tinos" w:cs="Tinos"/>
          <w:sz w:val="20"/>
          <w:szCs w:val="20"/>
        </w:rPr>
        <w:t xml:space="preserve">религиозных организаций одного вероисповедания, являющихся сторонами заключенного между ними договора пожертвования недвижимого имущества религиозного назначения</w:t>
      </w:r>
      <w:r>
        <w:rPr>
          <w:rFonts w:ascii="Tinos" w:hAnsi="Tinos" w:cs="Tinos"/>
          <w:sz w:val="20"/>
          <w:szCs w:val="20"/>
        </w:rPr>
      </w:r>
    </w:p>
  </w:footnote>
  <w:footnote w:id="3">
    <w:p>
      <w:pPr>
        <w:pStyle w:val="757"/>
        <w:ind w:left="-567" w:right="0" w:firstLine="709"/>
        <w:jc w:val="both"/>
        <w:spacing w:before="0" w:after="40"/>
        <w:widowControl w:val="off"/>
        <w:rPr>
          <w:rFonts w:ascii="Tinos" w:hAnsi="Tinos" w:cs="Tinos"/>
          <w:sz w:val="20"/>
          <w:szCs w:val="20"/>
        </w:rPr>
      </w:pPr>
      <w:r>
        <w:rPr>
          <w:rStyle w:val="739"/>
        </w:rPr>
        <w:footnoteRef/>
      </w:r>
      <w:r>
        <w:rPr>
          <w:rFonts w:ascii="Tinos" w:hAnsi="Tinos" w:eastAsia="Tinos" w:cs="Tinos"/>
          <w:sz w:val="20"/>
          <w:szCs w:val="20"/>
        </w:rPr>
        <w:t xml:space="preserve"> </w:t>
      </w:r>
      <w:r>
        <w:rPr>
          <w:rFonts w:ascii="Tinos" w:hAnsi="Tinos" w:eastAsia="Tinos" w:cs="Tinos"/>
          <w:sz w:val="20"/>
          <w:szCs w:val="20"/>
        </w:rPr>
        <w:t xml:space="preserve">религиозных организаций одного вероисповедания, являющихся сторонами заключенного между ними договора пожертвования недвижимого имущества религиозного назначения</w:t>
      </w:r>
      <w:r>
        <w:rPr>
          <w:rFonts w:ascii="Tinos" w:hAnsi="Tinos" w:cs="Tinos"/>
          <w:sz w:val="20"/>
          <w:szCs w:val="20"/>
        </w:rPr>
      </w:r>
    </w:p>
  </w:footnote>
  <w:footnote w:id="4">
    <w:p>
      <w:pPr>
        <w:pStyle w:val="757"/>
        <w:ind w:left="-567" w:right="0" w:firstLine="709"/>
        <w:jc w:val="both"/>
        <w:spacing w:before="0" w:after="40"/>
        <w:widowControl w:val="off"/>
        <w:rPr>
          <w:rFonts w:ascii="Tinos" w:hAnsi="Tinos" w:cs="Tinos"/>
          <w:sz w:val="20"/>
          <w:szCs w:val="20"/>
        </w:rPr>
      </w:pPr>
      <w:r>
        <w:rPr>
          <w:rStyle w:val="739"/>
        </w:rPr>
        <w:footnoteRef/>
      </w:r>
      <w:r>
        <w:rPr>
          <w:rFonts w:ascii="Tinos" w:hAnsi="Tinos" w:eastAsia="Tinos" w:cs="Tinos"/>
          <w:sz w:val="20"/>
          <w:szCs w:val="20"/>
        </w:rPr>
        <w:t xml:space="preserve"> </w:t>
      </w:r>
      <w:r>
        <w:rPr>
          <w:rFonts w:ascii="Tinos" w:hAnsi="Tinos" w:eastAsia="Tinos" w:cs="Tinos"/>
          <w:sz w:val="20"/>
          <w:szCs w:val="20"/>
        </w:rPr>
        <w:t xml:space="preserve">религиозных организаций одного вероисповедания, являющихся сторонами заключенного между ними договора пожертвования недвижимого имущества религиозного назначения</w:t>
      </w:r>
      <w:r>
        <w:rPr>
          <w:rFonts w:ascii="Tinos" w:hAnsi="Tinos" w:cs="Tinos"/>
          <w:sz w:val="20"/>
          <w:szCs w:val="20"/>
        </w:rPr>
      </w:r>
    </w:p>
  </w:footnote>
  <w:footnote w:id="5">
    <w:p>
      <w:pPr>
        <w:pStyle w:val="757"/>
        <w:spacing w:before="0" w:after="40"/>
        <w:widowControl w:val="off"/>
        <w:rPr>
          <w:rFonts w:ascii="Tinos" w:hAnsi="Tinos" w:cs="Tinos"/>
        </w:rPr>
      </w:pPr>
      <w:r>
        <w:rPr>
          <w:rStyle w:val="739"/>
          <w:rFonts w:ascii="Tinos" w:hAnsi="Tinos" w:eastAsia="Tinos" w:cs="Tinos"/>
        </w:rPr>
        <w:footnoteRef/>
      </w:r>
      <w:r>
        <w:rPr>
          <w:rFonts w:ascii="Tinos" w:hAnsi="Tinos" w:eastAsia="Tinos" w:cs="Tinos"/>
        </w:rPr>
        <w:t xml:space="preserve"> </w:t>
      </w:r>
      <w:r>
        <w:rPr>
          <w:rFonts w:ascii="Tinos" w:hAnsi="Tinos" w:eastAsia="Tinos" w:cs="Tinos"/>
        </w:rPr>
        <w:t xml:space="preserve">внесение изменений и дополнений в регистрационную запись об ипотеке</w:t>
      </w:r>
      <w:r>
        <w:rPr>
          <w:rFonts w:ascii="Tinos" w:hAnsi="Tinos" w:eastAsia="Tinos" w:cs="Tinos"/>
        </w:rPr>
      </w:r>
    </w:p>
  </w:footnote>
  <w:footnote w:id="6">
    <w:p>
      <w:pPr>
        <w:pStyle w:val="757"/>
        <w:ind w:left="0" w:right="0" w:firstLine="709"/>
        <w:jc w:val="both"/>
        <w:spacing w:before="0" w:after="40"/>
        <w:widowControl w:val="off"/>
        <w:rPr>
          <w:rFonts w:ascii="Tinos" w:hAnsi="Tinos" w:cs="Tinos"/>
          <w:sz w:val="20"/>
          <w:szCs w:val="20"/>
        </w:rPr>
      </w:pPr>
      <w:r>
        <w:rPr>
          <w:rStyle w:val="739"/>
        </w:rPr>
        <w:footnoteRef/>
      </w:r>
      <w:r>
        <w:rPr>
          <w:rFonts w:ascii="Tinos" w:hAnsi="Tinos" w:eastAsia="Tinos" w:cs="Tinos"/>
          <w:sz w:val="20"/>
          <w:szCs w:val="20"/>
        </w:rPr>
        <w:t xml:space="preserve">  </w:t>
      </w:r>
      <w:r>
        <w:rPr>
          <w:rFonts w:ascii="Tinos" w:hAnsi="Tinos" w:eastAsia="Tinos" w:cs="Tinos"/>
          <w:sz w:val="20"/>
          <w:szCs w:val="20"/>
        </w:rPr>
        <w:t xml:space="preserve">за гос</w:t>
      </w:r>
      <w:r>
        <w:rPr>
          <w:rFonts w:ascii="Tinos" w:hAnsi="Tinos" w:eastAsia="Tinos" w:cs="Tinos"/>
          <w:sz w:val="20"/>
          <w:szCs w:val="20"/>
        </w:rPr>
        <w:t xml:space="preserve">ударственную регистрацию прав, ограничений прав и обременений земельных участков из земель сельскохозяйственного назначения, сделок с такими земельными участками, если данные сделки подлежат государственной регистрации в соответствии с федеральным законом,</w:t>
      </w:r>
      <w:r>
        <w:rPr>
          <w:rFonts w:ascii="Tinos" w:hAnsi="Tinos" w:cs="Tinos"/>
          <w:sz w:val="20"/>
          <w:szCs w:val="20"/>
        </w:rPr>
      </w:r>
    </w:p>
  </w:footnote>
  <w:footnote w:id="7">
    <w:p>
      <w:pPr>
        <w:pStyle w:val="757"/>
        <w:ind w:left="0" w:right="0" w:firstLine="709"/>
        <w:jc w:val="both"/>
        <w:spacing w:before="0" w:after="40"/>
        <w:widowControl w:val="off"/>
        <w:rPr>
          <w:rFonts w:ascii="Tinos" w:hAnsi="Tinos" w:cs="Tinos"/>
          <w:sz w:val="20"/>
          <w:szCs w:val="20"/>
        </w:rPr>
      </w:pPr>
      <w:r>
        <w:rPr>
          <w:rStyle w:val="739"/>
        </w:rPr>
        <w:footnoteRef/>
      </w:r>
      <w:r>
        <w:rPr>
          <w:rFonts w:ascii="Tinos" w:hAnsi="Tinos" w:eastAsia="Tinos" w:cs="Tinos"/>
          <w:sz w:val="20"/>
          <w:szCs w:val="20"/>
        </w:rPr>
        <w:t xml:space="preserve"> </w:t>
      </w:r>
      <w:r>
        <w:rPr>
          <w:rFonts w:ascii="Tinos" w:hAnsi="Tinos" w:eastAsia="Tinos" w:cs="Tinos"/>
          <w:sz w:val="20"/>
          <w:szCs w:val="20"/>
        </w:rPr>
        <w:t xml:space="preserve">за государственную регистрацию ограничений (обременений) прав на</w:t>
      </w:r>
      <w:r>
        <w:rPr>
          <w:rFonts w:ascii="Tinos" w:hAnsi="Tinos" w:eastAsia="Tinos" w:cs="Tinos"/>
          <w:sz w:val="20"/>
          <w:szCs w:val="20"/>
        </w:rPr>
        <w:t xml:space="preserve"> </w:t>
      </w:r>
      <w:r>
        <w:rPr>
          <w:rFonts w:ascii="Tinos" w:hAnsi="Tinos" w:eastAsia="Tinos" w:cs="Tinos"/>
          <w:sz w:val="20"/>
          <w:szCs w:val="20"/>
        </w:rPr>
        <w:t xml:space="preserve">морское судно</w:t>
      </w:r>
      <w:r>
        <w:rPr>
          <w:rFonts w:ascii="Tinos" w:hAnsi="Tinos" w:eastAsia="Tinos" w:cs="Tinos"/>
          <w:sz w:val="20"/>
          <w:szCs w:val="20"/>
        </w:rPr>
        <w:t xml:space="preserve">, </w:t>
      </w:r>
      <w:r>
        <w:rPr>
          <w:rFonts w:ascii="Tinos" w:hAnsi="Tinos" w:eastAsia="Tinos" w:cs="Tinos"/>
          <w:sz w:val="20"/>
          <w:szCs w:val="20"/>
        </w:rPr>
        <w:t xml:space="preserve">судно внутреннего плавания</w:t>
      </w:r>
      <w:r>
        <w:rPr>
          <w:rFonts w:ascii="Tinos" w:hAnsi="Tinos" w:eastAsia="Tinos" w:cs="Tinos"/>
          <w:sz w:val="20"/>
          <w:szCs w:val="20"/>
        </w:rPr>
        <w:t xml:space="preserve">, </w:t>
      </w:r>
      <w:r>
        <w:rPr>
          <w:rFonts w:ascii="Tinos" w:hAnsi="Tinos" w:eastAsia="Tinos" w:cs="Tinos"/>
          <w:sz w:val="20"/>
          <w:szCs w:val="20"/>
        </w:rPr>
        <w:t xml:space="preserve">судно смешанного (река - море) плавания</w:t>
      </w:r>
      <w:r>
        <w:rPr>
          <w:rFonts w:ascii="Tinos" w:hAnsi="Tinos" w:eastAsia="Tinos" w:cs="Tinos"/>
          <w:sz w:val="20"/>
          <w:szCs w:val="20"/>
        </w:rPr>
        <w:t xml:space="preserve">, </w:t>
      </w:r>
      <w:r>
        <w:rPr>
          <w:rFonts w:ascii="Tinos" w:hAnsi="Tinos" w:eastAsia="Tinos" w:cs="Tinos"/>
          <w:sz w:val="20"/>
          <w:szCs w:val="20"/>
        </w:rPr>
        <w:t xml:space="preserve">спортивное парусное судно, прогулочное судно, маломерное судно</w:t>
      </w:r>
      <w:r>
        <w:rPr>
          <w:rFonts w:ascii="Tinos" w:hAnsi="Tinos" w:eastAsia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</w:footnote>
  <w:footnote w:id="8">
    <w:p>
      <w:pPr>
        <w:pStyle w:val="757"/>
        <w:ind w:left="0" w:right="0" w:firstLine="709"/>
        <w:spacing w:before="0" w:after="40"/>
        <w:widowControl w:val="off"/>
        <w:rPr>
          <w:rFonts w:ascii="Tinos" w:hAnsi="Tinos" w:cs="Tinos"/>
          <w:sz w:val="20"/>
          <w:szCs w:val="20"/>
        </w:rPr>
      </w:pPr>
      <w:r>
        <w:rPr>
          <w:rStyle w:val="739"/>
        </w:rPr>
        <w:footnoteRef/>
      </w:r>
      <w:r>
        <w:rPr>
          <w:rFonts w:ascii="Tinos" w:hAnsi="Tinos" w:eastAsia="Tinos" w:cs="Tinos"/>
          <w:sz w:val="20"/>
          <w:szCs w:val="20"/>
        </w:rPr>
        <w:t xml:space="preserve">  </w:t>
      </w:r>
      <w:r>
        <w:rPr>
          <w:rFonts w:ascii="Tinos" w:hAnsi="Tinos" w:eastAsia="Tinos" w:cs="Tinos"/>
          <w:sz w:val="20"/>
          <w:szCs w:val="20"/>
        </w:rPr>
        <w:t xml:space="preserve">государственный кадастровый учет в связи с изменением сведений об объекте недвижимости:</w:t>
      </w:r>
      <w:r>
        <w:rPr>
          <w:rFonts w:ascii="Tinos" w:hAnsi="Tinos" w:cs="Tinos"/>
          <w:sz w:val="20"/>
          <w:szCs w:val="20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11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2">
    <w:name w:val="Heading 1"/>
    <w:basedOn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2">
    <w:name w:val="Heading 2 Char"/>
    <w:uiPriority w:val="9"/>
    <w:qFormat/>
    <w:rPr>
      <w:rFonts w:ascii="Arial" w:hAnsi="Arial" w:eastAsia="Arial" w:cs="Arial"/>
      <w:sz w:val="34"/>
    </w:rPr>
  </w:style>
  <w:style w:type="character" w:styleId="723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4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6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7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9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uiPriority w:val="10"/>
    <w:qFormat/>
    <w:rPr>
      <w:sz w:val="48"/>
      <w:szCs w:val="48"/>
    </w:rPr>
  </w:style>
  <w:style w:type="character" w:styleId="731">
    <w:name w:val="Subtitle Char"/>
    <w:uiPriority w:val="11"/>
    <w:qFormat/>
    <w:rPr>
      <w:sz w:val="24"/>
      <w:szCs w:val="24"/>
    </w:rPr>
  </w:style>
  <w:style w:type="character" w:styleId="732">
    <w:name w:val="Quote Char"/>
    <w:uiPriority w:val="29"/>
    <w:qFormat/>
    <w:rPr>
      <w:i/>
    </w:rPr>
  </w:style>
  <w:style w:type="character" w:styleId="733">
    <w:name w:val="Intense Quote Char"/>
    <w:uiPriority w:val="30"/>
    <w:qFormat/>
    <w:rPr>
      <w:i/>
    </w:rPr>
  </w:style>
  <w:style w:type="character" w:styleId="734">
    <w:name w:val="Header Char"/>
    <w:uiPriority w:val="99"/>
    <w:qFormat/>
  </w:style>
  <w:style w:type="character" w:styleId="735">
    <w:name w:val="Footer Char"/>
    <w:uiPriority w:val="99"/>
    <w:qFormat/>
  </w:style>
  <w:style w:type="character" w:styleId="736">
    <w:name w:val="Caption Char"/>
    <w:uiPriority w:val="99"/>
    <w:qFormat/>
  </w:style>
  <w:style w:type="character" w:styleId="737">
    <w:name w:val="Hyperlink"/>
    <w:uiPriority w:val="99"/>
    <w:unhideWhenUsed/>
    <w:rPr>
      <w:color w:val="0000ff" w:themeColor="hyperlink"/>
      <w:u w:val="single"/>
    </w:rPr>
  </w:style>
  <w:style w:type="character" w:styleId="738">
    <w:name w:val="Footnote Text Char"/>
    <w:uiPriority w:val="99"/>
    <w:qFormat/>
    <w:rPr>
      <w:sz w:val="18"/>
    </w:rPr>
  </w:style>
  <w:style w:type="character" w:styleId="739">
    <w:name w:val="Символ сноски"/>
    <w:uiPriority w:val="99"/>
    <w:unhideWhenUsed/>
    <w:qFormat/>
    <w:rPr>
      <w:vertAlign w:val="superscript"/>
    </w:rPr>
  </w:style>
  <w:style w:type="character" w:styleId="740">
    <w:name w:val="footnote reference"/>
    <w:rPr>
      <w:vertAlign w:val="superscript"/>
    </w:rPr>
  </w:style>
  <w:style w:type="character" w:styleId="741">
    <w:name w:val="Endnote Text Char"/>
    <w:uiPriority w:val="99"/>
    <w:qFormat/>
    <w:rPr>
      <w:sz w:val="20"/>
    </w:rPr>
  </w:style>
  <w:style w:type="character" w:styleId="74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43">
    <w:name w:val="endnote reference"/>
    <w:rPr>
      <w:vertAlign w:val="superscript"/>
    </w:rPr>
  </w:style>
  <w:style w:type="character" w:styleId="744" w:default="1">
    <w:name w:val="Default Paragraph Font"/>
    <w:uiPriority w:val="1"/>
    <w:semiHidden/>
    <w:unhideWhenUsed/>
    <w:qFormat/>
  </w:style>
  <w:style w:type="paragraph" w:styleId="745">
    <w:name w:val="Заголовок"/>
    <w:basedOn w:val="711"/>
    <w:next w:val="74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46">
    <w:name w:val="Body Text"/>
    <w:basedOn w:val="711"/>
    <w:pPr>
      <w:spacing w:before="0" w:after="140" w:line="276" w:lineRule="auto"/>
    </w:pPr>
  </w:style>
  <w:style w:type="paragraph" w:styleId="747">
    <w:name w:val="List"/>
    <w:basedOn w:val="746"/>
    <w:rPr>
      <w:rFonts w:ascii="PT Astra Serif" w:hAnsi="PT Astra Serif" w:cs="Noto Sans Devanagari"/>
    </w:rPr>
  </w:style>
  <w:style w:type="paragraph" w:styleId="748">
    <w:name w:val="Caption"/>
    <w:basedOn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49">
    <w:name w:val="Указатель"/>
    <w:basedOn w:val="711"/>
    <w:qFormat/>
    <w:pPr>
      <w:suppressLineNumbers/>
    </w:pPr>
    <w:rPr>
      <w:rFonts w:ascii="PT Astra Serif" w:hAnsi="PT Astra Serif" w:cs="Noto Sans Devanagari"/>
    </w:rPr>
  </w:style>
  <w:style w:type="paragraph" w:styleId="750">
    <w:name w:val="Title"/>
    <w:basedOn w:val="7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1">
    <w:name w:val="Subtitle"/>
    <w:basedOn w:val="711"/>
    <w:uiPriority w:val="11"/>
    <w:qFormat/>
    <w:pPr>
      <w:spacing w:before="200" w:after="200"/>
    </w:pPr>
    <w:rPr>
      <w:sz w:val="24"/>
      <w:szCs w:val="24"/>
    </w:rPr>
  </w:style>
  <w:style w:type="paragraph" w:styleId="752">
    <w:name w:val="Quote"/>
    <w:basedOn w:val="711"/>
    <w:uiPriority w:val="29"/>
    <w:qFormat/>
    <w:pPr>
      <w:ind w:left="720" w:right="720" w:firstLine="0"/>
    </w:pPr>
    <w:rPr>
      <w:i/>
    </w:rPr>
  </w:style>
  <w:style w:type="paragraph" w:styleId="753">
    <w:name w:val="Intense Quote"/>
    <w:basedOn w:val="711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4">
    <w:name w:val="Колонтитул"/>
    <w:basedOn w:val="711"/>
    <w:qFormat/>
  </w:style>
  <w:style w:type="paragraph" w:styleId="755">
    <w:name w:val="Header"/>
    <w:basedOn w:val="7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6">
    <w:name w:val="Footer"/>
    <w:basedOn w:val="7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7">
    <w:name w:val="footnote text"/>
    <w:basedOn w:val="7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8">
    <w:name w:val="endnote text"/>
    <w:basedOn w:val="7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9">
    <w:name w:val="toc 1"/>
    <w:basedOn w:val="711"/>
    <w:uiPriority w:val="39"/>
    <w:unhideWhenUsed/>
    <w:pPr>
      <w:ind w:left="0" w:right="0" w:firstLine="0"/>
      <w:spacing w:before="0" w:after="57"/>
    </w:pPr>
  </w:style>
  <w:style w:type="paragraph" w:styleId="760">
    <w:name w:val="toc 2"/>
    <w:basedOn w:val="711"/>
    <w:uiPriority w:val="39"/>
    <w:unhideWhenUsed/>
    <w:pPr>
      <w:ind w:left="283" w:right="0" w:firstLine="0"/>
      <w:spacing w:before="0" w:after="57"/>
    </w:pPr>
  </w:style>
  <w:style w:type="paragraph" w:styleId="761">
    <w:name w:val="toc 3"/>
    <w:basedOn w:val="711"/>
    <w:uiPriority w:val="39"/>
    <w:unhideWhenUsed/>
    <w:pPr>
      <w:ind w:left="567" w:right="0" w:firstLine="0"/>
      <w:spacing w:before="0" w:after="57"/>
    </w:pPr>
  </w:style>
  <w:style w:type="paragraph" w:styleId="762">
    <w:name w:val="toc 4"/>
    <w:basedOn w:val="711"/>
    <w:uiPriority w:val="39"/>
    <w:unhideWhenUsed/>
    <w:pPr>
      <w:ind w:left="850" w:right="0" w:firstLine="0"/>
      <w:spacing w:before="0" w:after="57"/>
    </w:pPr>
  </w:style>
  <w:style w:type="paragraph" w:styleId="763">
    <w:name w:val="toc 5"/>
    <w:basedOn w:val="711"/>
    <w:uiPriority w:val="39"/>
    <w:unhideWhenUsed/>
    <w:pPr>
      <w:ind w:left="1134" w:right="0" w:firstLine="0"/>
      <w:spacing w:before="0" w:after="57"/>
    </w:pPr>
  </w:style>
  <w:style w:type="paragraph" w:styleId="764">
    <w:name w:val="toc 6"/>
    <w:basedOn w:val="711"/>
    <w:uiPriority w:val="39"/>
    <w:unhideWhenUsed/>
    <w:pPr>
      <w:ind w:left="1417" w:right="0" w:firstLine="0"/>
      <w:spacing w:before="0" w:after="57"/>
    </w:pPr>
  </w:style>
  <w:style w:type="paragraph" w:styleId="765">
    <w:name w:val="toc 7"/>
    <w:basedOn w:val="711"/>
    <w:uiPriority w:val="39"/>
    <w:unhideWhenUsed/>
    <w:pPr>
      <w:ind w:left="1701" w:right="0" w:firstLine="0"/>
      <w:spacing w:before="0" w:after="57"/>
    </w:pPr>
  </w:style>
  <w:style w:type="paragraph" w:styleId="766">
    <w:name w:val="toc 8"/>
    <w:basedOn w:val="711"/>
    <w:uiPriority w:val="39"/>
    <w:unhideWhenUsed/>
    <w:pPr>
      <w:ind w:left="1984" w:right="0" w:firstLine="0"/>
      <w:spacing w:before="0" w:after="57"/>
    </w:pPr>
  </w:style>
  <w:style w:type="paragraph" w:styleId="767">
    <w:name w:val="toc 9"/>
    <w:basedOn w:val="711"/>
    <w:uiPriority w:val="39"/>
    <w:unhideWhenUsed/>
    <w:pPr>
      <w:ind w:left="2268" w:right="0" w:firstLine="0"/>
      <w:spacing w:before="0" w:after="57"/>
    </w:pPr>
  </w:style>
  <w:style w:type="paragraph" w:styleId="768">
    <w:name w:val="Index Heading"/>
    <w:basedOn w:val="745"/>
  </w:style>
  <w:style w:type="paragraph" w:styleId="769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70">
    <w:name w:val="table of figures"/>
    <w:basedOn w:val="711"/>
    <w:uiPriority w:val="99"/>
    <w:unhideWhenUsed/>
    <w:qFormat/>
    <w:pPr>
      <w:spacing w:before="0" w:after="0" w:afterAutospacing="0"/>
    </w:pPr>
  </w:style>
  <w:style w:type="paragraph" w:styleId="771">
    <w:name w:val="No Spacing"/>
    <w:basedOn w:val="711"/>
    <w:uiPriority w:val="1"/>
    <w:qFormat/>
    <w:pPr>
      <w:spacing w:before="0" w:after="0" w:line="240" w:lineRule="auto"/>
    </w:pPr>
  </w:style>
  <w:style w:type="paragraph" w:styleId="772">
    <w:name w:val="List Paragraph"/>
    <w:basedOn w:val="711"/>
    <w:uiPriority w:val="34"/>
    <w:qFormat/>
    <w:pPr>
      <w:contextualSpacing/>
      <w:ind w:left="720" w:firstLine="0"/>
      <w:spacing w:before="0" w:after="200"/>
    </w:pPr>
  </w:style>
  <w:style w:type="numbering" w:styleId="773" w:default="1">
    <w:name w:val="No List"/>
    <w:uiPriority w:val="99"/>
    <w:semiHidden/>
    <w:unhideWhenUsed/>
    <w:qFormat/>
  </w:style>
  <w:style w:type="table" w:styleId="24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4</cp:revision>
  <dcterms:modified xsi:type="dcterms:W3CDTF">2025-08-18T09:14:27Z</dcterms:modified>
</cp:coreProperties>
</file>