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509" w:rsidRDefault="00A84509" w:rsidP="003D65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:rsidR="003A19C3" w:rsidRDefault="00AC0C06" w:rsidP="00A84C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3D65C8">
        <w:rPr>
          <w:rFonts w:ascii="Times New Roman" w:hAnsi="Times New Roman" w:cs="Times New Roman"/>
          <w:b/>
          <w:sz w:val="28"/>
          <w:szCs w:val="28"/>
        </w:rPr>
        <w:t xml:space="preserve">проведению </w:t>
      </w:r>
      <w:r w:rsidR="008B2022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3D65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2022">
        <w:rPr>
          <w:rFonts w:ascii="Times New Roman" w:hAnsi="Times New Roman" w:cs="Times New Roman"/>
          <w:b/>
          <w:sz w:val="28"/>
          <w:szCs w:val="28"/>
        </w:rPr>
        <w:t>в целях</w:t>
      </w:r>
      <w:r w:rsidR="003D65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2022">
        <w:rPr>
          <w:rFonts w:ascii="Times New Roman" w:hAnsi="Times New Roman" w:cs="Times New Roman"/>
          <w:b/>
          <w:sz w:val="28"/>
          <w:szCs w:val="28"/>
        </w:rPr>
        <w:t xml:space="preserve">внесения в ЕГРН </w:t>
      </w:r>
      <w:r w:rsidR="003D65C8">
        <w:rPr>
          <w:rFonts w:ascii="Times New Roman" w:hAnsi="Times New Roman" w:cs="Times New Roman"/>
          <w:b/>
          <w:sz w:val="28"/>
          <w:szCs w:val="28"/>
        </w:rPr>
        <w:t>дополнительн</w:t>
      </w:r>
      <w:r w:rsidR="008B2022">
        <w:rPr>
          <w:rFonts w:ascii="Times New Roman" w:hAnsi="Times New Roman" w:cs="Times New Roman"/>
          <w:b/>
          <w:sz w:val="28"/>
          <w:szCs w:val="28"/>
        </w:rPr>
        <w:t>ых</w:t>
      </w:r>
      <w:r w:rsidR="003D65C8">
        <w:rPr>
          <w:rFonts w:ascii="Times New Roman" w:hAnsi="Times New Roman" w:cs="Times New Roman"/>
          <w:b/>
          <w:sz w:val="28"/>
          <w:szCs w:val="28"/>
        </w:rPr>
        <w:t xml:space="preserve"> сведений об </w:t>
      </w:r>
      <w:r w:rsidR="00C463EB">
        <w:rPr>
          <w:rFonts w:ascii="Times New Roman" w:hAnsi="Times New Roman" w:cs="Times New Roman"/>
          <w:b/>
          <w:sz w:val="28"/>
          <w:szCs w:val="28"/>
        </w:rPr>
        <w:t>объектах недвижимости</w:t>
      </w:r>
      <w:r w:rsidR="00A84CBA">
        <w:rPr>
          <w:rFonts w:ascii="Times New Roman" w:hAnsi="Times New Roman" w:cs="Times New Roman"/>
          <w:b/>
          <w:sz w:val="28"/>
          <w:szCs w:val="28"/>
        </w:rPr>
        <w:t>,</w:t>
      </w:r>
      <w:r w:rsidR="003D65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4CBA" w:rsidRPr="00A84CBA">
        <w:rPr>
          <w:rFonts w:ascii="Times New Roman" w:hAnsi="Times New Roman" w:cs="Times New Roman"/>
          <w:b/>
          <w:sz w:val="28"/>
          <w:szCs w:val="28"/>
        </w:rPr>
        <w:t>расположенных в кадастровых кварталах</w:t>
      </w:r>
      <w:r w:rsidR="00BD2F77">
        <w:rPr>
          <w:rFonts w:ascii="Times New Roman" w:hAnsi="Times New Roman" w:cs="Times New Roman"/>
          <w:b/>
          <w:sz w:val="28"/>
          <w:szCs w:val="28"/>
        </w:rPr>
        <w:t>,</w:t>
      </w:r>
      <w:r w:rsidR="00A84CBA" w:rsidRPr="00A84CBA">
        <w:rPr>
          <w:rFonts w:ascii="Times New Roman" w:hAnsi="Times New Roman" w:cs="Times New Roman"/>
          <w:b/>
          <w:sz w:val="28"/>
          <w:szCs w:val="28"/>
        </w:rPr>
        <w:t xml:space="preserve"> на территории которых выполнены</w:t>
      </w:r>
      <w:r w:rsidR="00A84CBA" w:rsidRPr="00A84CBA" w:rsidDel="00A84CB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6F1B" w:rsidRDefault="008E526C" w:rsidP="00A84C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комплексны</w:t>
      </w:r>
      <w:r w:rsidR="00C463EB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кадастровы</w:t>
      </w:r>
      <w:r w:rsidR="00C463EB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C463EB">
        <w:rPr>
          <w:rFonts w:ascii="Times New Roman" w:hAnsi="Times New Roman" w:cs="Times New Roman"/>
          <w:b/>
          <w:sz w:val="28"/>
          <w:szCs w:val="28"/>
        </w:rPr>
        <w:t>ы</w:t>
      </w:r>
      <w:r w:rsidR="009924FF">
        <w:rPr>
          <w:rFonts w:ascii="Times New Roman" w:hAnsi="Times New Roman" w:cs="Times New Roman"/>
          <w:b/>
          <w:sz w:val="28"/>
          <w:szCs w:val="28"/>
        </w:rPr>
        <w:t>.</w:t>
      </w:r>
    </w:p>
    <w:p w:rsidR="00E467D0" w:rsidRDefault="00E467D0" w:rsidP="002A6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82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1"/>
        <w:gridCol w:w="4257"/>
        <w:gridCol w:w="10915"/>
        <w:gridCol w:w="236"/>
      </w:tblGrid>
      <w:tr w:rsidR="00AC0C06" w:rsidTr="002A6C65">
        <w:trPr>
          <w:tblHeader/>
        </w:trPr>
        <w:tc>
          <w:tcPr>
            <w:tcW w:w="421" w:type="dxa"/>
            <w:vAlign w:val="center"/>
          </w:tcPr>
          <w:p w:rsidR="00AC0C06" w:rsidRDefault="00AC0C06" w:rsidP="00AC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7" w:type="dxa"/>
            <w:vAlign w:val="center"/>
          </w:tcPr>
          <w:p w:rsidR="00AC0C06" w:rsidRDefault="003B6D49" w:rsidP="00AC0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Причины</w:t>
            </w:r>
            <w:r w:rsidR="003D65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отсутствия сведений</w:t>
            </w:r>
          </w:p>
        </w:tc>
        <w:tc>
          <w:tcPr>
            <w:tcW w:w="10915" w:type="dxa"/>
            <w:vAlign w:val="center"/>
          </w:tcPr>
          <w:p w:rsidR="00E467D0" w:rsidRPr="00E467D0" w:rsidRDefault="00AC0C06" w:rsidP="00E467D0">
            <w:pPr>
              <w:spacing w:after="0" w:line="240" w:lineRule="auto"/>
              <w:ind w:left="181" w:right="31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Проводимые мероприятия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C0C06" w:rsidRDefault="00AC0C06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AC0C06" w:rsidRDefault="00AC0C0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A7226" w:rsidTr="002A6C65">
        <w:tc>
          <w:tcPr>
            <w:tcW w:w="421" w:type="dxa"/>
          </w:tcPr>
          <w:p w:rsidR="00AA7226" w:rsidRPr="00AC0C06" w:rsidRDefault="00AA7226" w:rsidP="00316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7" w:type="dxa"/>
          </w:tcPr>
          <w:p w:rsidR="00AA7226" w:rsidRDefault="002E6D10" w:rsidP="00E467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AA72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идентифицированы на </w:t>
            </w:r>
            <w:r w:rsidR="00AA7226" w:rsidRPr="00AC0C06">
              <w:rPr>
                <w:rFonts w:ascii="Times New Roman" w:eastAsia="Calibri" w:hAnsi="Times New Roman" w:cs="Times New Roman"/>
                <w:sz w:val="24"/>
                <w:szCs w:val="24"/>
              </w:rPr>
              <w:t>местности</w:t>
            </w:r>
            <w:r w:rsidR="003D6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ОН</w:t>
            </w:r>
            <w:r w:rsidR="00B55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(отсутствует закрепление </w:t>
            </w:r>
            <w:r w:rsidR="003D6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границ </w:t>
            </w:r>
            <w:r w:rsidR="002A6C6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B55A1C">
              <w:rPr>
                <w:rFonts w:ascii="Times New Roman" w:eastAsia="Calibri" w:hAnsi="Times New Roman" w:cs="Times New Roman"/>
                <w:sz w:val="24"/>
                <w:szCs w:val="24"/>
              </w:rPr>
              <w:t>на местности, недостаточно сведений для определения границ)</w:t>
            </w:r>
            <w:r w:rsidR="003D65C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A7226" w:rsidRPr="00AC0C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A7226" w:rsidRPr="00AC0C06" w:rsidRDefault="00AA7226" w:rsidP="004651E2">
            <w:pPr>
              <w:spacing w:after="0" w:line="240" w:lineRule="auto"/>
              <w:ind w:firstLine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5" w:type="dxa"/>
          </w:tcPr>
          <w:p w:rsidR="00C47F68" w:rsidRPr="00C47F68" w:rsidRDefault="003D65C8" w:rsidP="00696766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85"/>
              </w:tabs>
              <w:spacing w:after="0" w:line="240" w:lineRule="auto"/>
              <w:ind w:left="-23" w:firstLine="49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Необходимо провести</w:t>
            </w:r>
            <w:r w:rsidR="00C47F68" w:rsidRPr="00C47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детальный а</w:t>
            </w:r>
            <w:r w:rsidR="00274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нализ документов, содержащихся </w:t>
            </w:r>
            <w:r w:rsidR="00E44B74">
              <w:rPr>
                <w:rFonts w:ascii="Times New Roman" w:eastAsia="Calibri" w:hAnsi="Times New Roman" w:cs="Times New Roman"/>
                <w:sz w:val="24"/>
                <w:szCs w:val="24"/>
              </w:rPr>
              <w:t>в реестровых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кадастровых, землеустроительных </w:t>
            </w:r>
            <w:r w:rsidR="00E44B74">
              <w:rPr>
                <w:rFonts w:ascii="Times New Roman" w:eastAsia="Calibri" w:hAnsi="Times New Roman" w:cs="Times New Roman"/>
                <w:sz w:val="24"/>
                <w:szCs w:val="24"/>
              </w:rPr>
              <w:t>делах,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делах правоустанавливающих документов,</w:t>
            </w:r>
            <w:r w:rsidR="00E44B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документах, </w:t>
            </w:r>
            <w:r w:rsidR="00E44B74">
              <w:rPr>
                <w:rFonts w:ascii="Times New Roman" w:eastAsia="Calibri" w:hAnsi="Times New Roman" w:cs="Times New Roman"/>
                <w:sz w:val="24"/>
                <w:szCs w:val="24"/>
              </w:rPr>
              <w:t>хранящихся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A6C6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C47F68" w:rsidRPr="00C47F68">
              <w:rPr>
                <w:rFonts w:ascii="Times New Roman" w:eastAsia="Calibri" w:hAnsi="Times New Roman" w:cs="Times New Roman"/>
                <w:sz w:val="24"/>
                <w:szCs w:val="24"/>
              </w:rPr>
              <w:t>в архивах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ОМСУ, региональных органов власти</w:t>
            </w:r>
            <w:r w:rsidR="00C47F68" w:rsidRPr="00C47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 </w:t>
            </w:r>
            <w:r w:rsidR="002748B5">
              <w:rPr>
                <w:rFonts w:ascii="Times New Roman" w:eastAsia="Calibri" w:hAnsi="Times New Roman" w:cs="Times New Roman"/>
                <w:sz w:val="24"/>
                <w:szCs w:val="24"/>
              </w:rPr>
              <w:t>том числе похозяйственных книг</w:t>
            </w:r>
            <w:r w:rsidR="004C04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2A6C6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4C04F4">
              <w:rPr>
                <w:rFonts w:ascii="Times New Roman" w:eastAsia="Calibri" w:hAnsi="Times New Roman" w:cs="Times New Roman"/>
                <w:sz w:val="24"/>
                <w:szCs w:val="24"/>
              </w:rPr>
              <w:t>на предмет возможности определения границ (контура) ОН.</w:t>
            </w:r>
          </w:p>
          <w:p w:rsidR="00C47F68" w:rsidRPr="00C47F68" w:rsidRDefault="004C04F4" w:rsidP="00696766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85"/>
              </w:tabs>
              <w:spacing w:after="0" w:line="240" w:lineRule="auto"/>
              <w:ind w:left="-23" w:firstLine="49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C47F68" w:rsidRPr="00C47F6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C47F68" w:rsidRPr="00C47F68">
              <w:rPr>
                <w:rFonts w:ascii="Times New Roman" w:eastAsia="Calibri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ести </w:t>
            </w:r>
            <w:r w:rsidR="00C47F68" w:rsidRPr="00C47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комплексный пространственный анализ с использованием геоинформационных систем и сервисов, содержащих сведения о местоположении земельных участков (например,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содержащие фактические границы на местности</w:t>
            </w:r>
            <w:r w:rsidR="00C47F68" w:rsidRPr="00C47F68">
              <w:rPr>
                <w:rFonts w:ascii="Times New Roman" w:eastAsia="Calibri" w:hAnsi="Times New Roman" w:cs="Times New Roman"/>
                <w:sz w:val="24"/>
                <w:szCs w:val="24"/>
              </w:rPr>
              <w:t>), в том числе на возможность выявления связи</w:t>
            </w:r>
            <w:r w:rsidR="0075021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C47F68" w:rsidRPr="00C47F68">
              <w:rPr>
                <w:rFonts w:ascii="Times New Roman" w:eastAsia="Calibri" w:hAnsi="Times New Roman" w:cs="Times New Roman"/>
                <w:sz w:val="24"/>
                <w:szCs w:val="24"/>
              </w:rPr>
              <w:t>с объектами капитального строительства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47F68" w:rsidRPr="00C47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47F68" w:rsidRPr="00C47F68" w:rsidRDefault="004C04F4" w:rsidP="00696766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85"/>
              </w:tabs>
              <w:spacing w:after="0" w:line="240" w:lineRule="auto"/>
              <w:ind w:left="-23" w:firstLine="49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C47F68" w:rsidRPr="00C47F6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</w:t>
            </w:r>
            <w:r w:rsidR="00C47F68" w:rsidRPr="00C47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анализировать данные о правообладателях, имеющиеся в Управлении ФНС по субъекту Российской Федерации, Нотариальной палате субъекта Российской Федерации и т.д. </w:t>
            </w:r>
          </w:p>
          <w:p w:rsidR="003B6D49" w:rsidRPr="00E44B74" w:rsidRDefault="004C04F4" w:rsidP="003A19C3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85"/>
              </w:tabs>
              <w:spacing w:after="0" w:line="240" w:lineRule="auto"/>
              <w:ind w:left="-23" w:firstLine="49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C47F68" w:rsidRPr="00C47F6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C47F68" w:rsidRPr="00C47F68">
              <w:rPr>
                <w:rFonts w:ascii="Times New Roman" w:eastAsia="Calibri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ести</w:t>
            </w:r>
            <w:r w:rsidR="00C47F68" w:rsidRPr="00C47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иные мероприятия, позволяющи</w:t>
            </w:r>
            <w:r w:rsidR="00E44B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определить (идентифицировать) </w:t>
            </w:r>
            <w:r w:rsidR="00C47F68" w:rsidRPr="00C47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расположение </w:t>
            </w:r>
            <w:r w:rsidR="003A19C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</w:t>
            </w:r>
            <w:r w:rsidR="00C33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местности, в том числе </w:t>
            </w:r>
            <w:r w:rsidR="00F408B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C47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 наличии контактной информации </w:t>
            </w:r>
            <w:r w:rsidR="00EB5E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правообладателя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</w:t>
            </w:r>
            <w:r w:rsidR="00C47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B5E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ЕГРН </w:t>
            </w:r>
            <w:r w:rsidR="00C47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(телефон, </w:t>
            </w:r>
            <w:r w:rsidR="00EB5E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проживания, </w:t>
            </w:r>
            <w:r w:rsidR="00C47F68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почты) следует осуществ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C47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ть взаимодействие </w:t>
            </w:r>
            <w:r w:rsidR="003A19C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C47F68">
              <w:rPr>
                <w:rFonts w:ascii="Times New Roman" w:eastAsia="Calibri" w:hAnsi="Times New Roman" w:cs="Times New Roman"/>
                <w:sz w:val="24"/>
                <w:szCs w:val="24"/>
              </w:rPr>
              <w:t>с правообладателем с цель</w:t>
            </w:r>
            <w:r w:rsidR="00EB5E90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="00C47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получения сведений, позволяющих идентифицировать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</w:t>
            </w:r>
            <w:r w:rsidR="00EB5E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7F68">
              <w:rPr>
                <w:rFonts w:ascii="Times New Roman" w:eastAsia="Calibri" w:hAnsi="Times New Roman" w:cs="Times New Roman"/>
                <w:sz w:val="24"/>
                <w:szCs w:val="24"/>
              </w:rPr>
              <w:t>на местности.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A7226" w:rsidRDefault="00AA7226" w:rsidP="00AA7226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B55A1C" w:rsidRDefault="00B55A1C" w:rsidP="00AA7226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B55A1C" w:rsidRDefault="00B55A1C" w:rsidP="00AA722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55A1C" w:rsidTr="002A6C65">
        <w:tc>
          <w:tcPr>
            <w:tcW w:w="421" w:type="dxa"/>
          </w:tcPr>
          <w:p w:rsidR="00B55A1C" w:rsidRDefault="00FD769D" w:rsidP="00316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7" w:type="dxa"/>
          </w:tcPr>
          <w:p w:rsidR="00384F61" w:rsidRDefault="00BD2F77" w:rsidP="00E467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</w:t>
            </w:r>
            <w:r w:rsidR="003A1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55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без регистрации </w:t>
            </w:r>
            <w:r w:rsidR="003A1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права </w:t>
            </w:r>
            <w:r w:rsidR="00B55A1C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собственности</w:t>
            </w:r>
            <w:r w:rsidR="004C04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4F61">
              <w:rPr>
                <w:rFonts w:ascii="Times New Roman" w:eastAsia="Calibri" w:hAnsi="Times New Roman" w:cs="Times New Roman"/>
                <w:sz w:val="24"/>
                <w:szCs w:val="24"/>
              </w:rPr>
              <w:t>(выявление правообладателя)</w:t>
            </w:r>
            <w:r w:rsidR="004C04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33278" w:rsidRDefault="00C33278" w:rsidP="00AA7226">
            <w:pPr>
              <w:spacing w:after="0" w:line="240" w:lineRule="auto"/>
              <w:ind w:firstLine="2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15" w:type="dxa"/>
          </w:tcPr>
          <w:p w:rsidR="004C04F4" w:rsidRDefault="004C04F4" w:rsidP="007D6AC8">
            <w:pPr>
              <w:tabs>
                <w:tab w:val="num" w:pos="185"/>
              </w:tabs>
              <w:spacing w:after="0" w:line="240" w:lineRule="auto"/>
              <w:ind w:firstLine="4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7D6AC8" w:rsidRPr="007D6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 по выявлению правообладателей </w:t>
            </w:r>
            <w:r w:rsidR="007D6AC8">
              <w:rPr>
                <w:rFonts w:ascii="Times New Roman" w:eastAsia="Calibri" w:hAnsi="Times New Roman" w:cs="Times New Roman"/>
                <w:sz w:val="24"/>
                <w:szCs w:val="24"/>
              </w:rPr>
              <w:t>РУОН</w:t>
            </w:r>
            <w:r w:rsidR="007D6AC8" w:rsidRPr="007D6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осуществляется ОМСУ </w:t>
            </w:r>
            <w:r w:rsidR="007D6AC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7D6AC8" w:rsidRPr="007D6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соответствии со статьей 69.1 Закона № 218-ФЗ. При проведении данных мероприятий необходимо руководствоваться также Рекомендациями для органов исполнительной власти субъектов Российской Федерации и местного самоуправления по выявлению правообладателей </w:t>
            </w:r>
            <w:r w:rsidR="00E467D0">
              <w:rPr>
                <w:rFonts w:ascii="Times New Roman" w:eastAsia="Calibri" w:hAnsi="Times New Roman" w:cs="Times New Roman"/>
                <w:sz w:val="24"/>
                <w:szCs w:val="24"/>
              </w:rPr>
              <w:t>РУОН</w:t>
            </w:r>
            <w:r w:rsidR="007D6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направленными </w:t>
            </w:r>
            <w:r w:rsidR="00E467D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7D6AC8" w:rsidRPr="007D6AC8">
              <w:rPr>
                <w:rFonts w:ascii="Times New Roman" w:eastAsia="Calibri" w:hAnsi="Times New Roman" w:cs="Times New Roman"/>
                <w:sz w:val="24"/>
                <w:szCs w:val="24"/>
              </w:rPr>
              <w:t>в органы государственной власти субъектов Российской Федера</w:t>
            </w:r>
            <w:r w:rsidR="007D6AC8">
              <w:rPr>
                <w:rFonts w:ascii="Times New Roman" w:eastAsia="Calibri" w:hAnsi="Times New Roman" w:cs="Times New Roman"/>
                <w:sz w:val="24"/>
                <w:szCs w:val="24"/>
              </w:rPr>
              <w:t>ции, территориальные органы Роср</w:t>
            </w:r>
            <w:r w:rsidR="007D6AC8" w:rsidRPr="007D6AC8">
              <w:rPr>
                <w:rFonts w:ascii="Times New Roman" w:eastAsia="Calibri" w:hAnsi="Times New Roman" w:cs="Times New Roman"/>
                <w:sz w:val="24"/>
                <w:szCs w:val="24"/>
              </w:rPr>
              <w:t>еестра письмами Росреестра от 28.05.2021 № 01-3975-ГЕ/21 и № 01-3174-ГЕ/21.</w:t>
            </w:r>
          </w:p>
          <w:p w:rsidR="00B55A1C" w:rsidRPr="004B4022" w:rsidRDefault="004C04F4" w:rsidP="00E467D0">
            <w:pPr>
              <w:tabs>
                <w:tab w:val="num" w:pos="185"/>
              </w:tabs>
              <w:spacing w:after="0" w:line="240" w:lineRule="auto"/>
              <w:ind w:firstLine="4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В </w:t>
            </w:r>
            <w:r w:rsidR="00EB5E90" w:rsidRPr="00C47F68">
              <w:rPr>
                <w:rFonts w:ascii="Times New Roman" w:eastAsia="Calibri" w:hAnsi="Times New Roman" w:cs="Times New Roman"/>
                <w:sz w:val="24"/>
                <w:szCs w:val="24"/>
              </w:rPr>
              <w:t>случае невозможности установления (получения) сведений о личности выявленного потенциального пр</w:t>
            </w:r>
            <w:r w:rsidR="00E44B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авообладателя, необходимых для </w:t>
            </w:r>
            <w:r w:rsidR="00EB5E90" w:rsidRPr="00C47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ее персонификации, следует направлять информацию о таких правообладателях </w:t>
            </w:r>
            <w:r w:rsidR="00E467D0">
              <w:rPr>
                <w:rFonts w:ascii="Times New Roman" w:eastAsia="Calibri" w:hAnsi="Times New Roman" w:cs="Times New Roman"/>
                <w:sz w:val="24"/>
                <w:szCs w:val="24"/>
              </w:rPr>
              <w:t>РУОН</w:t>
            </w:r>
            <w:r w:rsidR="00EB5E90" w:rsidRPr="00C47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Росреестр, по форме, установленной поручением Росреестра от 06.05.2022 № 01-3650-ТГ/22, для получения персонифицированных сведений о таких лицах в рамках исполнения поручения Правительства Российской Федерации об обеспечении проведения сверок персонифицированной информации о гражданах Российской Федерации, выявленных в качестве потенциальных правообладателей </w:t>
            </w:r>
            <w:r w:rsidR="00E467D0">
              <w:rPr>
                <w:rFonts w:ascii="Times New Roman" w:eastAsia="Calibri" w:hAnsi="Times New Roman" w:cs="Times New Roman"/>
                <w:sz w:val="24"/>
                <w:szCs w:val="24"/>
              </w:rPr>
              <w:t>ОН</w:t>
            </w:r>
            <w:r w:rsidR="00EB5E90" w:rsidRPr="00C47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соответствии с Законом № 518-ФЗ</w:t>
            </w:r>
            <w:r w:rsidR="00F408B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55A1C" w:rsidRDefault="00B55A1C" w:rsidP="00AA722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16B3C" w:rsidTr="00E467D0">
        <w:trPr>
          <w:trHeight w:val="1010"/>
        </w:trPr>
        <w:tc>
          <w:tcPr>
            <w:tcW w:w="421" w:type="dxa"/>
          </w:tcPr>
          <w:p w:rsidR="00316B3C" w:rsidRDefault="002748B5" w:rsidP="00274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2473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7" w:type="dxa"/>
          </w:tcPr>
          <w:p w:rsidR="00316B3C" w:rsidRPr="00316B3C" w:rsidRDefault="004C04F4" w:rsidP="00E467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</w:t>
            </w:r>
            <w:r w:rsidR="00D15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473DA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E467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асположен в другом </w:t>
            </w:r>
            <w:r w:rsidR="00316B3C" w:rsidRPr="00316B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кадастровом квартале. </w:t>
            </w:r>
          </w:p>
          <w:p w:rsidR="00316B3C" w:rsidRPr="00316B3C" w:rsidRDefault="00316B3C" w:rsidP="00316B3C">
            <w:pPr>
              <w:spacing w:after="0" w:line="240" w:lineRule="auto"/>
              <w:ind w:firstLine="2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463F" w:rsidRDefault="00AE463F" w:rsidP="00316B3C">
            <w:pPr>
              <w:spacing w:after="0" w:line="240" w:lineRule="auto"/>
              <w:ind w:firstLine="2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51E2" w:rsidRDefault="004651E2" w:rsidP="00E467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3278" w:rsidRDefault="00C33278" w:rsidP="004C04F4">
            <w:pPr>
              <w:spacing w:after="0" w:line="240" w:lineRule="auto"/>
              <w:ind w:firstLine="2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15" w:type="dxa"/>
          </w:tcPr>
          <w:p w:rsidR="00D151C7" w:rsidRDefault="00D151C7" w:rsidP="00750218">
            <w:pPr>
              <w:tabs>
                <w:tab w:val="num" w:pos="44"/>
              </w:tabs>
              <w:spacing w:after="0" w:line="240" w:lineRule="auto"/>
              <w:ind w:firstLine="4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Проводится</w:t>
            </w:r>
            <w:r w:rsidR="00316B3C" w:rsidRPr="00316B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 документов, послуживших основанием для внесения сведений </w:t>
            </w:r>
            <w:r w:rsidR="004B402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316B3C" w:rsidRPr="00316B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таких </w:t>
            </w:r>
            <w:r w:rsidR="004F6604">
              <w:rPr>
                <w:rFonts w:ascii="Times New Roman" w:eastAsia="Calibri" w:hAnsi="Times New Roman" w:cs="Times New Roman"/>
                <w:sz w:val="24"/>
                <w:szCs w:val="24"/>
              </w:rPr>
              <w:t>ОН</w:t>
            </w:r>
            <w:r w:rsidR="00316B3C" w:rsidRPr="00316B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ЕГРН </w:t>
            </w:r>
            <w:r w:rsidR="002473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="00953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r w:rsidR="002473DA" w:rsidRPr="002473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наличии информации </w:t>
            </w:r>
            <w:r w:rsidR="00047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том числе </w:t>
            </w:r>
            <w:r w:rsidR="002473DA" w:rsidRPr="002473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присвоенном в установленном порядке адресе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</w:t>
            </w:r>
            <w:r w:rsidR="002473DA" w:rsidRPr="002473DA">
              <w:rPr>
                <w:rFonts w:ascii="Times New Roman" w:eastAsia="Calibri" w:hAnsi="Times New Roman" w:cs="Times New Roman"/>
                <w:sz w:val="24"/>
                <w:szCs w:val="24"/>
              </w:rPr>
              <w:t>, позволяющей определить место нахо</w:t>
            </w:r>
            <w:r w:rsidR="006967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ждения соответствующего объекта </w:t>
            </w:r>
            <w:r w:rsidR="002473DA" w:rsidRPr="002473DA">
              <w:rPr>
                <w:rFonts w:ascii="Times New Roman" w:eastAsia="Calibri" w:hAnsi="Times New Roman" w:cs="Times New Roman"/>
                <w:sz w:val="24"/>
                <w:szCs w:val="24"/>
              </w:rPr>
              <w:t>в пределах определенного кадастрового квартала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47608" w:rsidRPr="00316B3C" w:rsidRDefault="00D151C7" w:rsidP="00E467D0">
            <w:pPr>
              <w:tabs>
                <w:tab w:val="num" w:pos="44"/>
              </w:tabs>
              <w:spacing w:after="0" w:line="240" w:lineRule="auto"/>
              <w:ind w:firstLine="4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2473DA">
              <w:rPr>
                <w:rFonts w:ascii="Times New Roman" w:eastAsia="Calibri" w:hAnsi="Times New Roman" w:cs="Times New Roman"/>
                <w:sz w:val="24"/>
                <w:szCs w:val="24"/>
              </w:rPr>
              <w:t>ТУ</w:t>
            </w:r>
            <w:r w:rsidR="002473DA" w:rsidRPr="002473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Росреестра при выявлении некорректных сведений в отношении номера кадастрового квартала, в котором расположен такой </w:t>
            </w:r>
            <w:r w:rsidR="00750218">
              <w:rPr>
                <w:rFonts w:ascii="Times New Roman" w:eastAsia="Calibri" w:hAnsi="Times New Roman" w:cs="Times New Roman"/>
                <w:sz w:val="24"/>
                <w:szCs w:val="24"/>
              </w:rPr>
              <w:t>ОН</w:t>
            </w:r>
            <w:r w:rsidR="002473DA" w:rsidRPr="002473DA">
              <w:rPr>
                <w:rFonts w:ascii="Times New Roman" w:eastAsia="Calibri" w:hAnsi="Times New Roman" w:cs="Times New Roman"/>
                <w:sz w:val="24"/>
                <w:szCs w:val="24"/>
              </w:rPr>
              <w:t>, вносит соответствующие изменения в ЕГРН</w:t>
            </w:r>
            <w:r w:rsidR="002473D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B3C" w:rsidRDefault="00316B3C" w:rsidP="00AA722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16B3C" w:rsidTr="002A6C65">
        <w:tc>
          <w:tcPr>
            <w:tcW w:w="421" w:type="dxa"/>
          </w:tcPr>
          <w:p w:rsidR="00316B3C" w:rsidRPr="00AC0C06" w:rsidRDefault="00D151C7" w:rsidP="00316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16B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7" w:type="dxa"/>
          </w:tcPr>
          <w:p w:rsidR="00316B3C" w:rsidRPr="00AC0C06" w:rsidRDefault="00F97184" w:rsidP="00E46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  <w:r w:rsidR="00D15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земельного участка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r w:rsidR="00316B3C" w:rsidRPr="00AC0C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результатам измерений увеличивается более чем </w:t>
            </w:r>
            <w:r w:rsidR="00D15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="00316B3C" w:rsidRPr="00AC0C06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предельно-минимальный размер или более 10%, если такой размер не установлен.</w:t>
            </w:r>
          </w:p>
        </w:tc>
        <w:tc>
          <w:tcPr>
            <w:tcW w:w="10915" w:type="dxa"/>
          </w:tcPr>
          <w:p w:rsidR="00316B3C" w:rsidRPr="00AC0C06" w:rsidRDefault="00316B3C" w:rsidP="00696766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-23" w:firstLine="4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C06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 устанавливает местоположение границ и площадь земельного участка до размера, соответствующего требованиям, указан</w:t>
            </w:r>
            <w:r w:rsidR="00F971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ным части 3 статьи 42.8 Закона </w:t>
            </w:r>
            <w:r w:rsidRPr="00AC0C06">
              <w:rPr>
                <w:rFonts w:ascii="Times New Roman" w:eastAsia="Calibri" w:hAnsi="Times New Roman" w:cs="Times New Roman"/>
                <w:sz w:val="24"/>
                <w:szCs w:val="24"/>
              </w:rPr>
              <w:t>№ 221-ФЗ</w:t>
            </w:r>
            <w:r w:rsidR="0082233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C0C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включает сведения </w:t>
            </w:r>
            <w:r w:rsidR="003A46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C0C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КПТР для внесения в ЕГРН. </w:t>
            </w:r>
          </w:p>
          <w:p w:rsidR="00316B3C" w:rsidRPr="00AC0C06" w:rsidRDefault="00316B3C" w:rsidP="00FF3455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-23" w:firstLine="4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C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невнесенной в ЕГРН запользованной части земельного участка </w:t>
            </w:r>
            <w:r w:rsidR="00FF345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C0C06">
              <w:rPr>
                <w:rFonts w:ascii="Times New Roman" w:eastAsia="Calibri" w:hAnsi="Times New Roman" w:cs="Times New Roman"/>
                <w:sz w:val="24"/>
                <w:szCs w:val="24"/>
              </w:rPr>
              <w:t>сполнитель готовит информацию в соответствии с пунктом 2 части 4 статьи 42.8 Закона № 221-ФЗ и направляет в орган</w:t>
            </w:r>
            <w:r w:rsidR="00A031F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C0C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уполномоченный на распоряжение земельными участками в соответствии со статьей 39.2 ЗК РФ.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B3C" w:rsidRDefault="00316B3C" w:rsidP="00316B3C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316B3C" w:rsidRDefault="00316B3C" w:rsidP="00316B3C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316B3C" w:rsidRDefault="00316B3C" w:rsidP="00316B3C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316B3C" w:rsidRDefault="00316B3C" w:rsidP="00316B3C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047608" w:rsidRDefault="00047608" w:rsidP="00316B3C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047608" w:rsidRDefault="00047608" w:rsidP="00316B3C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047608" w:rsidTr="002A6C65">
        <w:tc>
          <w:tcPr>
            <w:tcW w:w="421" w:type="dxa"/>
          </w:tcPr>
          <w:p w:rsidR="00047608" w:rsidRDefault="00D151C7" w:rsidP="00316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476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7" w:type="dxa"/>
          </w:tcPr>
          <w:p w:rsidR="00047608" w:rsidRDefault="00E467D0" w:rsidP="00E467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Снятие с государственного </w:t>
            </w:r>
            <w:r w:rsidR="00047608" w:rsidRPr="00047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кадастрового учета </w:t>
            </w:r>
            <w:r w:rsidR="00012A32">
              <w:rPr>
                <w:rFonts w:ascii="Times New Roman" w:eastAsia="Calibri" w:hAnsi="Times New Roman" w:cs="Times New Roman"/>
                <w:sz w:val="24"/>
                <w:szCs w:val="24"/>
              </w:rPr>
              <w:t>ОН</w:t>
            </w:r>
            <w:r w:rsidR="00D151C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33278" w:rsidRDefault="00C33278" w:rsidP="00316B3C">
            <w:pPr>
              <w:spacing w:after="0" w:line="240" w:lineRule="auto"/>
              <w:ind w:firstLine="2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15" w:type="dxa"/>
          </w:tcPr>
          <w:p w:rsidR="00D671F9" w:rsidRDefault="00047608" w:rsidP="00D671F9">
            <w:pPr>
              <w:pStyle w:val="af1"/>
              <w:ind w:firstLine="46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671F9">
              <w:rPr>
                <w:rFonts w:ascii="Times New Roman" w:hAnsi="Times New Roman" w:cs="Times New Roman"/>
                <w:sz w:val="24"/>
                <w:szCs w:val="28"/>
              </w:rPr>
              <w:t xml:space="preserve">Мероприятия по снятию с государственного кадастрового учета </w:t>
            </w:r>
            <w:r w:rsidR="00012A32" w:rsidRPr="00D671F9">
              <w:rPr>
                <w:rFonts w:ascii="Times New Roman" w:hAnsi="Times New Roman" w:cs="Times New Roman"/>
                <w:sz w:val="24"/>
                <w:szCs w:val="28"/>
              </w:rPr>
              <w:t>ОН</w:t>
            </w:r>
            <w:r w:rsidRPr="00D671F9">
              <w:rPr>
                <w:rFonts w:ascii="Times New Roman" w:hAnsi="Times New Roman" w:cs="Times New Roman"/>
                <w:sz w:val="24"/>
                <w:szCs w:val="28"/>
              </w:rPr>
              <w:t xml:space="preserve"> осуществляются </w:t>
            </w:r>
            <w:r w:rsidR="00012A32" w:rsidRPr="00D671F9">
              <w:rPr>
                <w:rFonts w:ascii="Times New Roman" w:hAnsi="Times New Roman" w:cs="Times New Roman"/>
                <w:sz w:val="24"/>
                <w:szCs w:val="28"/>
              </w:rPr>
              <w:t>ТУ</w:t>
            </w:r>
            <w:r w:rsidR="00750218" w:rsidRPr="00D671F9">
              <w:rPr>
                <w:rFonts w:ascii="Times New Roman" w:hAnsi="Times New Roman" w:cs="Times New Roman"/>
                <w:sz w:val="24"/>
                <w:szCs w:val="28"/>
              </w:rPr>
              <w:t xml:space="preserve"> Росреестра с участием </w:t>
            </w:r>
            <w:r w:rsidR="00D671F9" w:rsidRPr="00D671F9">
              <w:rPr>
                <w:rFonts w:ascii="Times New Roman" w:hAnsi="Times New Roman" w:cs="Times New Roman"/>
                <w:sz w:val="24"/>
                <w:szCs w:val="28"/>
              </w:rPr>
              <w:t>Уполномоченн</w:t>
            </w:r>
            <w:r w:rsidR="00D671F9">
              <w:rPr>
                <w:rFonts w:ascii="Times New Roman" w:hAnsi="Times New Roman" w:cs="Times New Roman"/>
                <w:sz w:val="24"/>
                <w:szCs w:val="28"/>
              </w:rPr>
              <w:t>ого</w:t>
            </w:r>
            <w:r w:rsidR="00D671F9" w:rsidRPr="00D671F9">
              <w:rPr>
                <w:rFonts w:ascii="Times New Roman" w:hAnsi="Times New Roman" w:cs="Times New Roman"/>
                <w:sz w:val="24"/>
                <w:szCs w:val="28"/>
              </w:rPr>
              <w:t xml:space="preserve"> орган</w:t>
            </w:r>
            <w:r w:rsidR="00D671F9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750218" w:rsidRPr="00D671F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671F9">
              <w:rPr>
                <w:rFonts w:ascii="Times New Roman" w:hAnsi="Times New Roman" w:cs="Times New Roman"/>
                <w:sz w:val="24"/>
                <w:szCs w:val="28"/>
              </w:rPr>
              <w:t xml:space="preserve">в порядке и случаях, установленных частью 15 статьи 41, </w:t>
            </w:r>
            <w:r w:rsidR="003A19C3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D671F9">
              <w:rPr>
                <w:rFonts w:ascii="Times New Roman" w:hAnsi="Times New Roman" w:cs="Times New Roman"/>
                <w:sz w:val="24"/>
                <w:szCs w:val="28"/>
              </w:rPr>
              <w:t xml:space="preserve">частями 11, 11.1, 15 статьи 60.2, частью 8 статьи 69.1, частями 3-4 статьи 70, </w:t>
            </w:r>
            <w:r w:rsidR="003A19C3">
              <w:rPr>
                <w:rFonts w:ascii="Times New Roman" w:hAnsi="Times New Roman" w:cs="Times New Roman"/>
                <w:sz w:val="24"/>
                <w:szCs w:val="28"/>
              </w:rPr>
              <w:br/>
            </w:r>
            <w:bookmarkStart w:id="0" w:name="_GoBack"/>
            <w:bookmarkEnd w:id="0"/>
            <w:r w:rsidRPr="00D671F9">
              <w:rPr>
                <w:rFonts w:ascii="Times New Roman" w:hAnsi="Times New Roman" w:cs="Times New Roman"/>
                <w:sz w:val="24"/>
                <w:szCs w:val="28"/>
              </w:rPr>
              <w:t>частью 7 статьи</w:t>
            </w:r>
            <w:r w:rsidR="00853217">
              <w:rPr>
                <w:rFonts w:ascii="Times New Roman" w:hAnsi="Times New Roman" w:cs="Times New Roman"/>
                <w:sz w:val="24"/>
                <w:szCs w:val="28"/>
              </w:rPr>
              <w:t xml:space="preserve"> 72 Закона № 218-ФЗ, пунктом 238</w:t>
            </w:r>
            <w:r w:rsidRPr="00D671F9">
              <w:rPr>
                <w:rFonts w:ascii="Times New Roman" w:hAnsi="Times New Roman" w:cs="Times New Roman"/>
                <w:sz w:val="24"/>
                <w:szCs w:val="28"/>
              </w:rPr>
              <w:t xml:space="preserve"> Порядка ведения ЕГРН.</w:t>
            </w:r>
          </w:p>
          <w:p w:rsidR="00047608" w:rsidRDefault="00047608" w:rsidP="00D671F9">
            <w:pPr>
              <w:pStyle w:val="af1"/>
              <w:ind w:firstLine="46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671F9">
              <w:rPr>
                <w:rFonts w:ascii="Times New Roman" w:hAnsi="Times New Roman" w:cs="Times New Roman"/>
                <w:sz w:val="24"/>
                <w:szCs w:val="28"/>
              </w:rPr>
              <w:t>При этом в случае выявления</w:t>
            </w:r>
            <w:r w:rsidR="00750218" w:rsidRPr="00D671F9">
              <w:rPr>
                <w:rFonts w:ascii="Times New Roman" w:hAnsi="Times New Roman" w:cs="Times New Roman"/>
                <w:sz w:val="24"/>
                <w:szCs w:val="28"/>
              </w:rPr>
              <w:t xml:space="preserve"> в ЕГРН «дублирующих» сведений </w:t>
            </w:r>
            <w:r w:rsidRPr="00D671F9">
              <w:rPr>
                <w:rFonts w:ascii="Times New Roman" w:hAnsi="Times New Roman" w:cs="Times New Roman"/>
                <w:sz w:val="24"/>
                <w:szCs w:val="28"/>
              </w:rPr>
              <w:t xml:space="preserve">об </w:t>
            </w:r>
            <w:r w:rsidR="00012A32" w:rsidRPr="00D671F9">
              <w:rPr>
                <w:rFonts w:ascii="Times New Roman" w:hAnsi="Times New Roman" w:cs="Times New Roman"/>
                <w:sz w:val="24"/>
                <w:szCs w:val="28"/>
              </w:rPr>
              <w:t>ОН</w:t>
            </w:r>
            <w:r w:rsidRPr="00D671F9">
              <w:rPr>
                <w:rFonts w:ascii="Times New Roman" w:hAnsi="Times New Roman" w:cs="Times New Roman"/>
                <w:sz w:val="24"/>
                <w:szCs w:val="28"/>
              </w:rPr>
              <w:t xml:space="preserve"> следует руководствоваться методическими рекомендациями и алгоритмами,</w:t>
            </w:r>
            <w:r w:rsidR="00750218" w:rsidRPr="00D671F9">
              <w:rPr>
                <w:rFonts w:ascii="Times New Roman" w:hAnsi="Times New Roman" w:cs="Times New Roman"/>
                <w:sz w:val="24"/>
                <w:szCs w:val="28"/>
              </w:rPr>
              <w:t xml:space="preserve"> ранее доведенными Росреестром </w:t>
            </w:r>
            <w:r w:rsidRPr="00D671F9">
              <w:rPr>
                <w:rFonts w:ascii="Times New Roman" w:hAnsi="Times New Roman" w:cs="Times New Roman"/>
                <w:sz w:val="24"/>
                <w:szCs w:val="28"/>
              </w:rPr>
              <w:t xml:space="preserve">до </w:t>
            </w:r>
            <w:r w:rsidR="00012A32" w:rsidRPr="00D671F9">
              <w:rPr>
                <w:rFonts w:ascii="Times New Roman" w:hAnsi="Times New Roman" w:cs="Times New Roman"/>
                <w:sz w:val="24"/>
                <w:szCs w:val="28"/>
              </w:rPr>
              <w:t>ТУ</w:t>
            </w:r>
            <w:r w:rsidRPr="00D671F9">
              <w:rPr>
                <w:rFonts w:ascii="Times New Roman" w:hAnsi="Times New Roman" w:cs="Times New Roman"/>
                <w:sz w:val="24"/>
                <w:szCs w:val="28"/>
              </w:rPr>
              <w:t xml:space="preserve"> Росреестра </w:t>
            </w:r>
            <w:r w:rsidR="00045AF6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D671F9">
              <w:rPr>
                <w:rFonts w:ascii="Times New Roman" w:hAnsi="Times New Roman" w:cs="Times New Roman"/>
                <w:sz w:val="24"/>
                <w:szCs w:val="28"/>
              </w:rPr>
              <w:t xml:space="preserve">(в том числе Алгоритмом действий (рекомендациями) по исключению из учетной системы ведения ГКН в процессе осуществления действий по верификации и гармонизации данных об объектах капитального строительства ошибочно внесенных сведений, направленными письмом Росреестра от 20.12.2013 </w:t>
            </w:r>
            <w:r w:rsidR="00045AF6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D671F9">
              <w:rPr>
                <w:rFonts w:ascii="Times New Roman" w:hAnsi="Times New Roman" w:cs="Times New Roman"/>
                <w:sz w:val="24"/>
                <w:szCs w:val="28"/>
              </w:rPr>
              <w:t>№ 09-исх/11834-ГЕ/13, письмами Росреестра от 10.02.2014 № 09-исх/01383-ГЕ/14, от 09</w:t>
            </w:r>
            <w:r w:rsidR="00012A32" w:rsidRPr="00D671F9">
              <w:rPr>
                <w:rFonts w:ascii="Times New Roman" w:hAnsi="Times New Roman" w:cs="Times New Roman"/>
                <w:sz w:val="24"/>
                <w:szCs w:val="28"/>
              </w:rPr>
              <w:t xml:space="preserve">.06.2014 </w:t>
            </w:r>
            <w:r w:rsidR="00045AF6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="00012A32" w:rsidRPr="00D671F9">
              <w:rPr>
                <w:rFonts w:ascii="Times New Roman" w:hAnsi="Times New Roman" w:cs="Times New Roman"/>
                <w:sz w:val="24"/>
                <w:szCs w:val="28"/>
              </w:rPr>
              <w:t xml:space="preserve">№ 09-исх/06588-ГЕ/14, </w:t>
            </w:r>
            <w:r w:rsidRPr="00D671F9">
              <w:rPr>
                <w:rFonts w:ascii="Times New Roman" w:hAnsi="Times New Roman" w:cs="Times New Roman"/>
                <w:sz w:val="24"/>
                <w:szCs w:val="28"/>
              </w:rPr>
              <w:t>от 25.08.2016 № 09-исх/12085-ГЕ/16).</w:t>
            </w:r>
          </w:p>
          <w:p w:rsidR="00047608" w:rsidRDefault="00047608" w:rsidP="00D671F9">
            <w:pPr>
              <w:pStyle w:val="af1"/>
              <w:ind w:firstLine="46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671F9">
              <w:rPr>
                <w:rFonts w:ascii="Times New Roman" w:hAnsi="Times New Roman" w:cs="Times New Roman"/>
                <w:sz w:val="24"/>
                <w:szCs w:val="28"/>
              </w:rPr>
              <w:t xml:space="preserve">Решение о верификации сведений ЕГРН об </w:t>
            </w:r>
            <w:r w:rsidR="00012A32" w:rsidRPr="00D671F9">
              <w:rPr>
                <w:rFonts w:ascii="Times New Roman" w:hAnsi="Times New Roman" w:cs="Times New Roman"/>
                <w:sz w:val="24"/>
                <w:szCs w:val="28"/>
              </w:rPr>
              <w:t>ОН</w:t>
            </w:r>
            <w:r w:rsidRPr="00D671F9">
              <w:rPr>
                <w:rFonts w:ascii="Times New Roman" w:hAnsi="Times New Roman" w:cs="Times New Roman"/>
                <w:sz w:val="24"/>
                <w:szCs w:val="28"/>
              </w:rPr>
              <w:t xml:space="preserve"> (в том числе об исключении дублирующих сведений об </w:t>
            </w:r>
            <w:r w:rsidR="00045AF6">
              <w:rPr>
                <w:rFonts w:ascii="Times New Roman" w:hAnsi="Times New Roman" w:cs="Times New Roman"/>
                <w:sz w:val="24"/>
                <w:szCs w:val="28"/>
              </w:rPr>
              <w:t>ОН</w:t>
            </w:r>
            <w:r w:rsidRPr="00D671F9">
              <w:rPr>
                <w:rFonts w:ascii="Times New Roman" w:hAnsi="Times New Roman" w:cs="Times New Roman"/>
                <w:sz w:val="24"/>
                <w:szCs w:val="28"/>
              </w:rPr>
              <w:t xml:space="preserve">, исправлении ошибок) принимается на заседании рабочей группы по вопросам верификации данных ЕГРН по результатам проведенного анализа сведений ЕГРН, документов, содержащихся </w:t>
            </w:r>
            <w:r w:rsidR="00045AF6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D671F9">
              <w:rPr>
                <w:rFonts w:ascii="Times New Roman" w:hAnsi="Times New Roman" w:cs="Times New Roman"/>
                <w:sz w:val="24"/>
                <w:szCs w:val="28"/>
              </w:rPr>
              <w:t>в реестровых делах, информации (документов) органа (организации) по госуд</w:t>
            </w:r>
            <w:r w:rsidR="00012A32" w:rsidRPr="00D671F9">
              <w:rPr>
                <w:rFonts w:ascii="Times New Roman" w:hAnsi="Times New Roman" w:cs="Times New Roman"/>
                <w:sz w:val="24"/>
                <w:szCs w:val="28"/>
              </w:rPr>
              <w:t xml:space="preserve">арственному техническому учету </w:t>
            </w:r>
            <w:r w:rsidRPr="00D671F9">
              <w:rPr>
                <w:rFonts w:ascii="Times New Roman" w:hAnsi="Times New Roman" w:cs="Times New Roman"/>
                <w:sz w:val="24"/>
                <w:szCs w:val="28"/>
              </w:rPr>
              <w:t xml:space="preserve">и (или) технической инвентаризации, органов власти субъектов Российской Федерации и ОМСУ, а также иных документов, имеющихся в распоряжении </w:t>
            </w:r>
            <w:r w:rsidR="00045AF6" w:rsidRPr="00045AF6">
              <w:rPr>
                <w:rFonts w:ascii="Times New Roman" w:hAnsi="Times New Roman" w:cs="Times New Roman"/>
                <w:sz w:val="24"/>
                <w:szCs w:val="28"/>
              </w:rPr>
              <w:t>ТУ Росреестра</w:t>
            </w:r>
            <w:r w:rsidRPr="00D671F9">
              <w:rPr>
                <w:rFonts w:ascii="Times New Roman" w:hAnsi="Times New Roman" w:cs="Times New Roman"/>
                <w:sz w:val="24"/>
                <w:szCs w:val="28"/>
              </w:rPr>
              <w:t xml:space="preserve">, и оформляется протоколом. </w:t>
            </w:r>
          </w:p>
          <w:p w:rsidR="00047608" w:rsidRPr="00012A32" w:rsidRDefault="00047608" w:rsidP="00853217">
            <w:pPr>
              <w:pStyle w:val="af1"/>
              <w:ind w:firstLine="462"/>
              <w:jc w:val="both"/>
            </w:pPr>
            <w:r w:rsidRPr="00D671F9">
              <w:rPr>
                <w:rFonts w:ascii="Times New Roman" w:hAnsi="Times New Roman" w:cs="Times New Roman"/>
                <w:sz w:val="24"/>
                <w:szCs w:val="28"/>
              </w:rPr>
              <w:t>Работу, направленную на исключени</w:t>
            </w:r>
            <w:r w:rsidR="00012A32" w:rsidRPr="00D671F9">
              <w:rPr>
                <w:rFonts w:ascii="Times New Roman" w:hAnsi="Times New Roman" w:cs="Times New Roman"/>
                <w:sz w:val="24"/>
                <w:szCs w:val="28"/>
              </w:rPr>
              <w:t xml:space="preserve">е из ЕГРН дублирующих сведений </w:t>
            </w:r>
            <w:r w:rsidRPr="00D671F9">
              <w:rPr>
                <w:rFonts w:ascii="Times New Roman" w:hAnsi="Times New Roman" w:cs="Times New Roman"/>
                <w:sz w:val="24"/>
                <w:szCs w:val="28"/>
              </w:rPr>
              <w:t>о земельных участках, следует проводить</w:t>
            </w:r>
            <w:r w:rsidR="00012A32" w:rsidRPr="00D671F9">
              <w:rPr>
                <w:rFonts w:ascii="Times New Roman" w:hAnsi="Times New Roman" w:cs="Times New Roman"/>
                <w:sz w:val="24"/>
                <w:szCs w:val="28"/>
              </w:rPr>
              <w:t xml:space="preserve"> с учетом рекомендаций, данных </w:t>
            </w:r>
            <w:r w:rsidRPr="00D671F9">
              <w:rPr>
                <w:rFonts w:ascii="Times New Roman" w:hAnsi="Times New Roman" w:cs="Times New Roman"/>
                <w:sz w:val="24"/>
                <w:szCs w:val="28"/>
              </w:rPr>
              <w:t xml:space="preserve">в письме Росреестра от 04.10.2017 </w:t>
            </w:r>
            <w:r w:rsidR="00D671F9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D671F9">
              <w:rPr>
                <w:rFonts w:ascii="Times New Roman" w:hAnsi="Times New Roman" w:cs="Times New Roman"/>
                <w:sz w:val="24"/>
                <w:szCs w:val="28"/>
              </w:rPr>
              <w:t xml:space="preserve">№ 01-11867-ГЕ/17, включая мероприятия, предусмотренные пунктом </w:t>
            </w:r>
            <w:r w:rsidR="00853217">
              <w:rPr>
                <w:rFonts w:ascii="Times New Roman" w:hAnsi="Times New Roman" w:cs="Times New Roman"/>
                <w:sz w:val="24"/>
                <w:szCs w:val="28"/>
              </w:rPr>
              <w:t>238</w:t>
            </w:r>
            <w:r w:rsidRPr="00D671F9">
              <w:rPr>
                <w:rFonts w:ascii="Times New Roman" w:hAnsi="Times New Roman" w:cs="Times New Roman"/>
                <w:sz w:val="24"/>
                <w:szCs w:val="28"/>
              </w:rPr>
              <w:t xml:space="preserve"> Порядка ведения ЕГРН.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47608" w:rsidRDefault="00047608" w:rsidP="00316B3C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21019B" w:rsidRDefault="0021019B" w:rsidP="0021019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45AF6" w:rsidRDefault="00045AF6" w:rsidP="00A57DB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45AF6" w:rsidRDefault="00045AF6" w:rsidP="00A57DB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46F1B" w:rsidRPr="00DD797C" w:rsidRDefault="0021019B" w:rsidP="00A57DB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DD797C">
        <w:rPr>
          <w:rFonts w:ascii="Times New Roman" w:hAnsi="Times New Roman" w:cs="Times New Roman"/>
          <w:b/>
          <w:sz w:val="24"/>
          <w:szCs w:val="28"/>
        </w:rPr>
        <w:lastRenderedPageBreak/>
        <w:t>Список сокращенных наименований:</w:t>
      </w:r>
    </w:p>
    <w:p w:rsidR="0021019B" w:rsidRPr="0021019B" w:rsidRDefault="0021019B" w:rsidP="00A57D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19B">
        <w:rPr>
          <w:rFonts w:ascii="Times New Roman" w:eastAsia="Calibri" w:hAnsi="Times New Roman" w:cs="Times New Roman"/>
          <w:sz w:val="24"/>
          <w:szCs w:val="24"/>
        </w:rPr>
        <w:t xml:space="preserve">ККР – </w:t>
      </w:r>
      <w:r w:rsidR="001858BB">
        <w:rPr>
          <w:rFonts w:ascii="Times New Roman" w:eastAsia="Calibri" w:hAnsi="Times New Roman" w:cs="Times New Roman"/>
          <w:sz w:val="24"/>
          <w:szCs w:val="24"/>
        </w:rPr>
        <w:t>К</w:t>
      </w:r>
      <w:r w:rsidRPr="0021019B">
        <w:rPr>
          <w:rFonts w:ascii="Times New Roman" w:eastAsia="Calibri" w:hAnsi="Times New Roman" w:cs="Times New Roman"/>
          <w:sz w:val="24"/>
          <w:szCs w:val="24"/>
        </w:rPr>
        <w:t>омплексные кадастровые работы;</w:t>
      </w:r>
    </w:p>
    <w:p w:rsidR="0021019B" w:rsidRPr="0021019B" w:rsidRDefault="0021019B" w:rsidP="00A57D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19B">
        <w:rPr>
          <w:rFonts w:ascii="Times New Roman" w:eastAsia="Calibri" w:hAnsi="Times New Roman" w:cs="Times New Roman"/>
          <w:sz w:val="24"/>
          <w:szCs w:val="24"/>
        </w:rPr>
        <w:t>ЕГРН – Единый государственный реестр недвижимости;</w:t>
      </w:r>
    </w:p>
    <w:p w:rsidR="0021019B" w:rsidRDefault="0021019B" w:rsidP="00A57D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19B">
        <w:rPr>
          <w:rFonts w:ascii="Times New Roman" w:eastAsia="Calibri" w:hAnsi="Times New Roman" w:cs="Times New Roman"/>
          <w:sz w:val="24"/>
          <w:szCs w:val="24"/>
        </w:rPr>
        <w:t xml:space="preserve">КПТР – </w:t>
      </w:r>
      <w:r w:rsidR="001858BB">
        <w:rPr>
          <w:rFonts w:ascii="Times New Roman" w:eastAsia="Calibri" w:hAnsi="Times New Roman" w:cs="Times New Roman"/>
          <w:sz w:val="24"/>
          <w:szCs w:val="24"/>
        </w:rPr>
        <w:t>К</w:t>
      </w:r>
      <w:r w:rsidRPr="0021019B">
        <w:rPr>
          <w:rFonts w:ascii="Times New Roman" w:eastAsia="Calibri" w:hAnsi="Times New Roman" w:cs="Times New Roman"/>
          <w:sz w:val="24"/>
          <w:szCs w:val="24"/>
        </w:rPr>
        <w:t>арта-план территорий;</w:t>
      </w:r>
    </w:p>
    <w:p w:rsidR="00F23A50" w:rsidRDefault="00F23A50" w:rsidP="00A57D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ОН </w:t>
      </w:r>
      <w:r w:rsidRPr="00F23A50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Объект</w:t>
      </w:r>
      <w:r w:rsidRPr="00F23A50">
        <w:rPr>
          <w:rFonts w:ascii="Times New Roman" w:eastAsia="Calibri" w:hAnsi="Times New Roman" w:cs="Times New Roman"/>
          <w:sz w:val="24"/>
          <w:szCs w:val="24"/>
        </w:rPr>
        <w:t xml:space="preserve"> недвижимости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7D6AC8" w:rsidRDefault="007D6AC8" w:rsidP="00A57D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РУОН – ранее учтенный объект недвижимости; </w:t>
      </w:r>
    </w:p>
    <w:p w:rsidR="004A7032" w:rsidRDefault="004A7032" w:rsidP="00A57D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Исполнитель – </w:t>
      </w:r>
      <w:r w:rsidR="001858BB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сполнитель </w:t>
      </w:r>
      <w:r w:rsidRPr="004A7032">
        <w:rPr>
          <w:rFonts w:ascii="Times New Roman" w:eastAsia="Calibri" w:hAnsi="Times New Roman" w:cs="Times New Roman"/>
          <w:sz w:val="24"/>
          <w:szCs w:val="24"/>
        </w:rPr>
        <w:t>комплексны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 w:rsidRPr="004A7032">
        <w:rPr>
          <w:rFonts w:ascii="Times New Roman" w:eastAsia="Calibri" w:hAnsi="Times New Roman" w:cs="Times New Roman"/>
          <w:sz w:val="24"/>
          <w:szCs w:val="24"/>
        </w:rPr>
        <w:t xml:space="preserve"> кадастровы</w:t>
      </w:r>
      <w:r>
        <w:rPr>
          <w:rFonts w:ascii="Times New Roman" w:eastAsia="Calibri" w:hAnsi="Times New Roman" w:cs="Times New Roman"/>
          <w:sz w:val="24"/>
          <w:szCs w:val="24"/>
        </w:rPr>
        <w:t>х работ, согласно контракту;</w:t>
      </w:r>
    </w:p>
    <w:p w:rsidR="004A7032" w:rsidRDefault="004A7032" w:rsidP="00A57D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032">
        <w:rPr>
          <w:rFonts w:ascii="Times New Roman" w:eastAsia="Calibri" w:hAnsi="Times New Roman" w:cs="Times New Roman"/>
          <w:sz w:val="24"/>
          <w:szCs w:val="24"/>
        </w:rPr>
        <w:t>ТУ Росреестра</w:t>
      </w:r>
      <w:r w:rsidR="009924FF" w:rsidRPr="009924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24FF">
        <w:rPr>
          <w:rFonts w:ascii="Times New Roman" w:eastAsia="Calibri" w:hAnsi="Times New Roman" w:cs="Times New Roman"/>
          <w:sz w:val="24"/>
          <w:szCs w:val="24"/>
        </w:rPr>
        <w:t xml:space="preserve">– Территориальный орган Росреестра </w:t>
      </w:r>
      <w:r w:rsidR="009924FF" w:rsidRPr="009924FF">
        <w:rPr>
          <w:rFonts w:ascii="Times New Roman" w:eastAsia="Calibri" w:hAnsi="Times New Roman" w:cs="Times New Roman"/>
          <w:sz w:val="24"/>
          <w:szCs w:val="24"/>
        </w:rPr>
        <w:t>по субъекту Российской Федерации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242810" w:rsidRDefault="00242810" w:rsidP="00A57D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ГФДЗ </w:t>
      </w:r>
      <w:r w:rsidRPr="00242810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Pr="00242810">
        <w:rPr>
          <w:rFonts w:ascii="Times New Roman" w:eastAsia="Calibri" w:hAnsi="Times New Roman" w:cs="Times New Roman"/>
          <w:sz w:val="24"/>
          <w:szCs w:val="24"/>
        </w:rPr>
        <w:t>осударственн</w:t>
      </w:r>
      <w:r>
        <w:rPr>
          <w:rFonts w:ascii="Times New Roman" w:eastAsia="Calibri" w:hAnsi="Times New Roman" w:cs="Times New Roman"/>
          <w:sz w:val="24"/>
          <w:szCs w:val="24"/>
        </w:rPr>
        <w:t>ый фонд</w:t>
      </w:r>
      <w:r w:rsidRPr="00242810">
        <w:rPr>
          <w:rFonts w:ascii="Times New Roman" w:eastAsia="Calibri" w:hAnsi="Times New Roman" w:cs="Times New Roman"/>
          <w:sz w:val="24"/>
          <w:szCs w:val="24"/>
        </w:rPr>
        <w:t xml:space="preserve"> данных, полученных в результате проведения землеустройства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A84509" w:rsidRDefault="00A84509" w:rsidP="00A57D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4509">
        <w:rPr>
          <w:rFonts w:ascii="Times New Roman" w:eastAsia="Calibri" w:hAnsi="Times New Roman" w:cs="Times New Roman"/>
          <w:sz w:val="24"/>
          <w:szCs w:val="24"/>
        </w:rPr>
        <w:t>ОМСУ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3455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A84509">
        <w:rPr>
          <w:rFonts w:ascii="Times New Roman" w:eastAsia="Calibri" w:hAnsi="Times New Roman" w:cs="Times New Roman"/>
          <w:sz w:val="24"/>
          <w:szCs w:val="24"/>
        </w:rPr>
        <w:t>рган местного самоуправления</w:t>
      </w:r>
    </w:p>
    <w:p w:rsidR="00D671F9" w:rsidRDefault="00D671F9" w:rsidP="00A57D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71F9">
        <w:rPr>
          <w:rFonts w:ascii="Times New Roman" w:eastAsia="Calibri" w:hAnsi="Times New Roman" w:cs="Times New Roman"/>
          <w:sz w:val="24"/>
          <w:szCs w:val="24"/>
        </w:rPr>
        <w:t>ФНС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Федеральная налоговая служба</w:t>
      </w:r>
    </w:p>
    <w:p w:rsidR="00012A32" w:rsidRDefault="00012A32" w:rsidP="00A57D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ЗК РФ – </w:t>
      </w:r>
      <w:r w:rsidRPr="00012A32">
        <w:rPr>
          <w:rFonts w:ascii="Times New Roman" w:eastAsia="Calibri" w:hAnsi="Times New Roman" w:cs="Times New Roman"/>
          <w:sz w:val="24"/>
          <w:szCs w:val="24"/>
        </w:rPr>
        <w:t>Земельн</w:t>
      </w:r>
      <w:r>
        <w:rPr>
          <w:rFonts w:ascii="Times New Roman" w:eastAsia="Calibri" w:hAnsi="Times New Roman" w:cs="Times New Roman"/>
          <w:sz w:val="24"/>
          <w:szCs w:val="24"/>
        </w:rPr>
        <w:t>ый Кодекс</w:t>
      </w:r>
      <w:r w:rsidRPr="00012A32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853217" w:rsidRPr="00853217" w:rsidRDefault="00A57DB4" w:rsidP="0085321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DB4">
        <w:rPr>
          <w:rFonts w:ascii="Times New Roman" w:eastAsia="Calibri" w:hAnsi="Times New Roman" w:cs="Times New Roman"/>
          <w:sz w:val="24"/>
          <w:szCs w:val="24"/>
        </w:rPr>
        <w:t>Поряд</w:t>
      </w:r>
      <w:r>
        <w:rPr>
          <w:rFonts w:ascii="Times New Roman" w:eastAsia="Calibri" w:hAnsi="Times New Roman" w:cs="Times New Roman"/>
          <w:sz w:val="24"/>
          <w:szCs w:val="24"/>
        </w:rPr>
        <w:t>ок</w:t>
      </w:r>
      <w:r w:rsidRPr="00A57DB4">
        <w:rPr>
          <w:rFonts w:ascii="Times New Roman" w:eastAsia="Calibri" w:hAnsi="Times New Roman" w:cs="Times New Roman"/>
          <w:sz w:val="24"/>
          <w:szCs w:val="24"/>
        </w:rPr>
        <w:t xml:space="preserve"> ведения ЕГРН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8532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3217" w:rsidRPr="00853217">
        <w:rPr>
          <w:rFonts w:ascii="Times New Roman" w:eastAsia="Calibri" w:hAnsi="Times New Roman" w:cs="Times New Roman"/>
          <w:sz w:val="24"/>
          <w:szCs w:val="24"/>
        </w:rPr>
        <w:t xml:space="preserve">Приказ Росреестра от 07.12.2023 </w:t>
      </w:r>
      <w:r w:rsidR="00DC0745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853217" w:rsidRPr="00853217">
        <w:rPr>
          <w:rFonts w:ascii="Times New Roman" w:eastAsia="Calibri" w:hAnsi="Times New Roman" w:cs="Times New Roman"/>
          <w:sz w:val="24"/>
          <w:szCs w:val="24"/>
        </w:rPr>
        <w:t>П/0514</w:t>
      </w:r>
      <w:r w:rsidR="00853217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853217" w:rsidRPr="00853217">
        <w:rPr>
          <w:rFonts w:ascii="Times New Roman" w:eastAsia="Calibri" w:hAnsi="Times New Roman" w:cs="Times New Roman"/>
          <w:sz w:val="24"/>
          <w:szCs w:val="24"/>
        </w:rPr>
        <w:t>Об установлении порядка ведения Единого госуда</w:t>
      </w:r>
      <w:r w:rsidR="00853217">
        <w:rPr>
          <w:rFonts w:ascii="Times New Roman" w:eastAsia="Calibri" w:hAnsi="Times New Roman" w:cs="Times New Roman"/>
          <w:sz w:val="24"/>
          <w:szCs w:val="24"/>
        </w:rPr>
        <w:t>рственного реестра недвижимости»;</w:t>
      </w:r>
    </w:p>
    <w:p w:rsidR="0021019B" w:rsidRPr="00853217" w:rsidRDefault="004469CB" w:rsidP="0085321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Закон</w:t>
      </w:r>
      <w:r w:rsidR="0021019B" w:rsidRPr="0021019B">
        <w:rPr>
          <w:rFonts w:ascii="Times New Roman" w:eastAsia="Calibri" w:hAnsi="Times New Roman" w:cs="Times New Roman"/>
          <w:sz w:val="24"/>
          <w:szCs w:val="24"/>
        </w:rPr>
        <w:t xml:space="preserve"> № 221-ФЗ – </w:t>
      </w:r>
      <w:r w:rsidR="0021019B" w:rsidRPr="00853217">
        <w:rPr>
          <w:rFonts w:ascii="Times New Roman" w:eastAsia="Calibri" w:hAnsi="Times New Roman" w:cs="Times New Roman"/>
          <w:sz w:val="24"/>
          <w:szCs w:val="24"/>
        </w:rPr>
        <w:t>Федеральный закон от 24.07.2007 № 221-ФЗ «О кадастровой деятельности»;</w:t>
      </w:r>
    </w:p>
    <w:p w:rsidR="0021019B" w:rsidRDefault="0021019B" w:rsidP="00A57D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019B">
        <w:rPr>
          <w:rFonts w:ascii="Times New Roman" w:eastAsia="Calibri" w:hAnsi="Times New Roman" w:cs="Times New Roman"/>
          <w:sz w:val="24"/>
          <w:szCs w:val="24"/>
        </w:rPr>
        <w:t>Закон № 218-ФЗ – Федеральный закон от 13.07.2015 № 218-ФЗ «О государственной регистрации недвижимости»</w:t>
      </w:r>
      <w:r w:rsidR="00E4603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46030" w:rsidRPr="0021019B" w:rsidRDefault="00E46030" w:rsidP="00A57D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6030">
        <w:rPr>
          <w:rFonts w:ascii="Times New Roman" w:eastAsia="Calibri" w:hAnsi="Times New Roman" w:cs="Times New Roman"/>
          <w:sz w:val="24"/>
          <w:szCs w:val="24"/>
        </w:rPr>
        <w:t>Законом № 518-ФЗ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EB7658" w:rsidRPr="00EB7658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30.12.2020 </w:t>
      </w:r>
      <w:r w:rsidR="00EB7658">
        <w:rPr>
          <w:rFonts w:ascii="Times New Roman" w:eastAsia="Calibri" w:hAnsi="Times New Roman" w:cs="Times New Roman"/>
          <w:sz w:val="24"/>
          <w:szCs w:val="24"/>
        </w:rPr>
        <w:t>№</w:t>
      </w:r>
      <w:r w:rsidR="00EB7658" w:rsidRPr="00EB7658">
        <w:rPr>
          <w:rFonts w:ascii="Times New Roman" w:eastAsia="Calibri" w:hAnsi="Times New Roman" w:cs="Times New Roman"/>
          <w:sz w:val="24"/>
          <w:szCs w:val="24"/>
        </w:rPr>
        <w:t xml:space="preserve"> 518-ФЗ </w:t>
      </w:r>
      <w:r w:rsidR="00EB7658">
        <w:rPr>
          <w:rFonts w:ascii="Times New Roman" w:eastAsia="Calibri" w:hAnsi="Times New Roman" w:cs="Times New Roman"/>
          <w:sz w:val="24"/>
          <w:szCs w:val="24"/>
        </w:rPr>
        <w:t>«</w:t>
      </w:r>
      <w:r w:rsidR="00EB7658" w:rsidRPr="00EB7658">
        <w:rPr>
          <w:rFonts w:ascii="Times New Roman" w:eastAsia="Calibri" w:hAnsi="Times New Roman" w:cs="Times New Roman"/>
          <w:sz w:val="24"/>
          <w:szCs w:val="24"/>
        </w:rPr>
        <w:t>О внесении изменений в отдельные законодательные акты Российской Федерации</w:t>
      </w:r>
      <w:r w:rsidR="00EB7658">
        <w:rPr>
          <w:rFonts w:ascii="Times New Roman" w:eastAsia="Calibri" w:hAnsi="Times New Roman" w:cs="Times New Roman"/>
          <w:sz w:val="24"/>
          <w:szCs w:val="24"/>
        </w:rPr>
        <w:t>».</w:t>
      </w:r>
    </w:p>
    <w:sectPr w:rsidR="00E46030" w:rsidRPr="0021019B" w:rsidSect="00E467D0">
      <w:pgSz w:w="16838" w:h="11906" w:orient="landscape"/>
      <w:pgMar w:top="568" w:right="1134" w:bottom="993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954E8"/>
    <w:multiLevelType w:val="multilevel"/>
    <w:tmpl w:val="2DBE50A0"/>
    <w:lvl w:ilvl="0">
      <w:start w:val="1"/>
      <w:numFmt w:val="decimal"/>
      <w:lvlText w:val="%1."/>
      <w:lvlJc w:val="left"/>
      <w:pPr>
        <w:tabs>
          <w:tab w:val="num" w:pos="0"/>
        </w:tabs>
        <w:ind w:left="63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5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7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9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1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3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95" w:hanging="180"/>
      </w:pPr>
    </w:lvl>
  </w:abstractNum>
  <w:abstractNum w:abstractNumId="1" w15:restartNumberingAfterBreak="0">
    <w:nsid w:val="1A67118C"/>
    <w:multiLevelType w:val="multilevel"/>
    <w:tmpl w:val="CB24AD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0B9760F"/>
    <w:multiLevelType w:val="hybridMultilevel"/>
    <w:tmpl w:val="2ECEE332"/>
    <w:lvl w:ilvl="0" w:tplc="022A4B8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F3868"/>
    <w:multiLevelType w:val="multilevel"/>
    <w:tmpl w:val="44A266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08F5F10"/>
    <w:multiLevelType w:val="multilevel"/>
    <w:tmpl w:val="48929DB2"/>
    <w:lvl w:ilvl="0">
      <w:start w:val="1"/>
      <w:numFmt w:val="decimal"/>
      <w:lvlText w:val="%1."/>
      <w:lvlJc w:val="left"/>
      <w:pPr>
        <w:tabs>
          <w:tab w:val="num" w:pos="0"/>
        </w:tabs>
        <w:ind w:left="63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5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7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9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1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3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95" w:hanging="180"/>
      </w:pPr>
    </w:lvl>
  </w:abstractNum>
  <w:abstractNum w:abstractNumId="5" w15:restartNumberingAfterBreak="0">
    <w:nsid w:val="4CE54585"/>
    <w:multiLevelType w:val="multilevel"/>
    <w:tmpl w:val="973412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18E5799"/>
    <w:multiLevelType w:val="multilevel"/>
    <w:tmpl w:val="8FB48B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1B"/>
    <w:rsid w:val="000031A4"/>
    <w:rsid w:val="00012A32"/>
    <w:rsid w:val="000452C9"/>
    <w:rsid w:val="00045AF6"/>
    <w:rsid w:val="00047608"/>
    <w:rsid w:val="00063110"/>
    <w:rsid w:val="000A4C47"/>
    <w:rsid w:val="000A7407"/>
    <w:rsid w:val="001266ED"/>
    <w:rsid w:val="001858BB"/>
    <w:rsid w:val="001D194A"/>
    <w:rsid w:val="001E132A"/>
    <w:rsid w:val="0021019B"/>
    <w:rsid w:val="00242810"/>
    <w:rsid w:val="00246F1B"/>
    <w:rsid w:val="002473DA"/>
    <w:rsid w:val="002748B5"/>
    <w:rsid w:val="002A6C65"/>
    <w:rsid w:val="002B77E4"/>
    <w:rsid w:val="002E6D10"/>
    <w:rsid w:val="002F00B5"/>
    <w:rsid w:val="00316B3C"/>
    <w:rsid w:val="0032563D"/>
    <w:rsid w:val="003256F1"/>
    <w:rsid w:val="00384F61"/>
    <w:rsid w:val="003A19C3"/>
    <w:rsid w:val="003A46EA"/>
    <w:rsid w:val="003B6D49"/>
    <w:rsid w:val="003D65C8"/>
    <w:rsid w:val="004469CB"/>
    <w:rsid w:val="004651E2"/>
    <w:rsid w:val="00466675"/>
    <w:rsid w:val="00480AE6"/>
    <w:rsid w:val="004946FD"/>
    <w:rsid w:val="004A7032"/>
    <w:rsid w:val="004B4022"/>
    <w:rsid w:val="004C04F4"/>
    <w:rsid w:val="004E01D5"/>
    <w:rsid w:val="004F2856"/>
    <w:rsid w:val="004F6604"/>
    <w:rsid w:val="00545ADC"/>
    <w:rsid w:val="00562B0D"/>
    <w:rsid w:val="005808EA"/>
    <w:rsid w:val="005B3635"/>
    <w:rsid w:val="005D0D50"/>
    <w:rsid w:val="00690B4D"/>
    <w:rsid w:val="00696766"/>
    <w:rsid w:val="006A571B"/>
    <w:rsid w:val="00742AF6"/>
    <w:rsid w:val="00750218"/>
    <w:rsid w:val="007A2593"/>
    <w:rsid w:val="007D3574"/>
    <w:rsid w:val="007D6AC8"/>
    <w:rsid w:val="00804357"/>
    <w:rsid w:val="00813609"/>
    <w:rsid w:val="0082233C"/>
    <w:rsid w:val="00853217"/>
    <w:rsid w:val="00871F51"/>
    <w:rsid w:val="008A40B4"/>
    <w:rsid w:val="008B2022"/>
    <w:rsid w:val="008B4DED"/>
    <w:rsid w:val="008E4153"/>
    <w:rsid w:val="008E526C"/>
    <w:rsid w:val="00924ABA"/>
    <w:rsid w:val="00953ECF"/>
    <w:rsid w:val="009827FB"/>
    <w:rsid w:val="0099113A"/>
    <w:rsid w:val="009924FF"/>
    <w:rsid w:val="009B3228"/>
    <w:rsid w:val="00A031F7"/>
    <w:rsid w:val="00A57DB4"/>
    <w:rsid w:val="00A84509"/>
    <w:rsid w:val="00A84CBA"/>
    <w:rsid w:val="00A97058"/>
    <w:rsid w:val="00AA7226"/>
    <w:rsid w:val="00AC0C06"/>
    <w:rsid w:val="00AD074E"/>
    <w:rsid w:val="00AD7DF5"/>
    <w:rsid w:val="00AE463F"/>
    <w:rsid w:val="00B012A3"/>
    <w:rsid w:val="00B336C3"/>
    <w:rsid w:val="00B378A1"/>
    <w:rsid w:val="00B41BAF"/>
    <w:rsid w:val="00B55A1C"/>
    <w:rsid w:val="00B63DA8"/>
    <w:rsid w:val="00B82D8E"/>
    <w:rsid w:val="00BB1972"/>
    <w:rsid w:val="00BD2F77"/>
    <w:rsid w:val="00BD6BC6"/>
    <w:rsid w:val="00C03C39"/>
    <w:rsid w:val="00C22565"/>
    <w:rsid w:val="00C33278"/>
    <w:rsid w:val="00C463EB"/>
    <w:rsid w:val="00C472FD"/>
    <w:rsid w:val="00C47F68"/>
    <w:rsid w:val="00C527CB"/>
    <w:rsid w:val="00CC42B1"/>
    <w:rsid w:val="00CE502E"/>
    <w:rsid w:val="00D151C7"/>
    <w:rsid w:val="00D41846"/>
    <w:rsid w:val="00D4737B"/>
    <w:rsid w:val="00D671F9"/>
    <w:rsid w:val="00D8311F"/>
    <w:rsid w:val="00DC0745"/>
    <w:rsid w:val="00DD797C"/>
    <w:rsid w:val="00DE05B7"/>
    <w:rsid w:val="00E02F57"/>
    <w:rsid w:val="00E11B3B"/>
    <w:rsid w:val="00E22CC6"/>
    <w:rsid w:val="00E44B74"/>
    <w:rsid w:val="00E46030"/>
    <w:rsid w:val="00E467D0"/>
    <w:rsid w:val="00E80A8E"/>
    <w:rsid w:val="00E83021"/>
    <w:rsid w:val="00EB5E90"/>
    <w:rsid w:val="00EB7658"/>
    <w:rsid w:val="00F23A50"/>
    <w:rsid w:val="00F3370B"/>
    <w:rsid w:val="00F408B9"/>
    <w:rsid w:val="00F97184"/>
    <w:rsid w:val="00FB313D"/>
    <w:rsid w:val="00FB458D"/>
    <w:rsid w:val="00FC43B2"/>
    <w:rsid w:val="00FD769D"/>
    <w:rsid w:val="00FF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C27E5"/>
  <w15:docId w15:val="{229474A8-D000-4CEB-B91B-F473D6C4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7C7FB0"/>
    <w:pPr>
      <w:ind w:left="720"/>
      <w:contextualSpacing/>
    </w:pPr>
  </w:style>
  <w:style w:type="table" w:styleId="a9">
    <w:name w:val="Table Grid"/>
    <w:basedOn w:val="a1"/>
    <w:uiPriority w:val="39"/>
    <w:rsid w:val="00491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0452C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52C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52C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52C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52C9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045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452C9"/>
    <w:rPr>
      <w:rFonts w:ascii="Segoe UI" w:hAnsi="Segoe UI" w:cs="Segoe UI"/>
      <w:sz w:val="18"/>
      <w:szCs w:val="18"/>
    </w:rPr>
  </w:style>
  <w:style w:type="paragraph" w:styleId="af1">
    <w:name w:val="No Spacing"/>
    <w:uiPriority w:val="1"/>
    <w:qFormat/>
    <w:rsid w:val="00D67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2B671-C6F2-404D-B2ED-F113325BE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Пеплова Анна Валерьевна</dc:creator>
  <cp:lastModifiedBy>Киселев Александр Сергеевич</cp:lastModifiedBy>
  <cp:revision>5</cp:revision>
  <cp:lastPrinted>2023-12-28T11:23:00Z</cp:lastPrinted>
  <dcterms:created xsi:type="dcterms:W3CDTF">2024-04-15T09:38:00Z</dcterms:created>
  <dcterms:modified xsi:type="dcterms:W3CDTF">2024-04-22T09:24:00Z</dcterms:modified>
  <dc:language>ru-RU</dc:language>
</cp:coreProperties>
</file>