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ГОСУДАРСТВЕННОЙ РЕГИСТРАЦИИ,</w:t>
      </w:r>
    </w:p>
    <w:p>
      <w:pPr>
        <w:pStyle w:val="2"/>
        <w:jc w:val="center"/>
      </w:pPr>
      <w:r>
        <w:rPr>
          <w:sz w:val="20"/>
        </w:rPr>
        <w:t xml:space="preserve">КАДАСТРА И КАРТОГРАФИИ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13 апреля 2020 г. N 3215-АБ/20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ОБЪЕКТАХ ВСПОМОГАТЕЛЬНОГО ИСПОЛЬЗОВАНИЯ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связи с обращениями граждан, юридических лиц, органов государственной власти, органов местного самоуправления, кадастровых инженеров по вопросам, возникающим в связи с созданием объектов вспомогательного использования, их государственным кадастровым учетом и государственной регистрацией прав на них, Росреестр сообщает.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 критериях отнесения объектов к числу вспомогательных зданий, строений, сооружений.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пунктом 3 части 17 статьи 51</w:t>
        </w:r>
      </w:hyperlink>
      <w:r>
        <w:rPr>
          <w:sz w:val="20"/>
        </w:rPr>
        <w:t xml:space="preserve"> Градостроительного кодекса Российской Федерации (далее - ГрК РФ) выдача разрешения на строительство не требуется в случае строительства на земельном участке строений и сооружений вспомогательного использования. При этом </w:t>
      </w:r>
      <w:hyperlink w:history="0" r:id="rId7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 не дает определение понятию "объект вспомогательного использования", не устанавливает критерии отнесения тех или иных строений и сооружений к числу вспомогательных, а также не относит к числу объектов вспомогательного использования здания, ограничиваясь только строениями и сооружениями.</w:t>
      </w:r>
    </w:p>
    <w:p>
      <w:pPr>
        <w:pStyle w:val="0"/>
        <w:spacing w:before="200" w:line-rule="auto"/>
        <w:ind w:firstLine="540"/>
        <w:jc w:val="both"/>
      </w:pPr>
      <w:hyperlink w:history="0" r:id="rId8" w:tooltip="Федеральный закон от 30.12.2009 N 384-ФЗ (ред. от 02.07.2013) &quot;Технический регламент о безопасности зданий и сооружений&quot; {КонсультантПлюс}">
        <w:r>
          <w:rPr>
            <w:sz w:val="20"/>
            <w:color w:val="0000ff"/>
          </w:rPr>
          <w:t xml:space="preserve">Статьей 2</w:t>
        </w:r>
      </w:hyperlink>
      <w:r>
        <w:rPr>
          <w:sz w:val="20"/>
        </w:rPr>
        <w:t xml:space="preserve"> Федерального закона от 30 декабря 2009 г. N 384-ФЗ "Технический регламент о безопасности зданий и сооружений" (далее - Закон N 384-ФЗ) установлено,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 зданием понимается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 сооружением понимается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9" w:tooltip="Федеральный закон от 30.12.2009 N 384-ФЗ (ред. от 02.07.2013) &quot;Технический регламент о безопасности зданий и сооружений&quot; {КонсультантПлюс}">
        <w:r>
          <w:rPr>
            <w:sz w:val="20"/>
            <w:color w:val="0000ff"/>
          </w:rPr>
          <w:t xml:space="preserve">части 10 статьи 4</w:t>
        </w:r>
      </w:hyperlink>
      <w:r>
        <w:rPr>
          <w:sz w:val="20"/>
        </w:rPr>
        <w:t xml:space="preserve"> Закона N 384-ФЗ к зданиям и сооружениям пониженного уровня ответственности относятся: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здания и сооружения временного (сезонного) назначения;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здания и сооружения вспомогательного использования, связанные с осуществлением строительства или реконструкции здания или сооружения;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здания и сооружения, расположенные на земельных участках, предоставленных для индивидуального жилищного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в отличие от положений </w:t>
      </w:r>
      <w:hyperlink w:history="0" r:id="rId10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 </w:t>
      </w:r>
      <w:hyperlink w:history="0" r:id="rId11" w:tooltip="Федеральный закон от 30.12.2009 N 384-ФЗ (ред. от 02.07.2013) &quot;Технический регламент о безопасности зданий и сооружений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384-ФЗ позволяет относить к числу объектов вспомогательного использования здания и сооружения, но при этом не упоминает строения, конкретизируя цель создания зданий и сооружений вспомогательного использования в виде необходимости их наличия для создания основных зданий и сооружений.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Аналогичный подход к определению статуса объектов вспомогательного использования сложился в судебной практике. Так, например, из </w:t>
      </w:r>
      <w:hyperlink w:history="0" r:id="rId12" w:tooltip="Определение ВАС РФ от 03.12.2012 N ВАС-15260/12 по делу N А51-2472/2012 Требование: О пересмотре в порядке надзора судебных актов по делу о признании незаконными отказов в регистрации права собственности на объекты недвижимости, обязании осуществить регистрацию. Решение: В передаче дела в Президиум ВАС РФ отказано, поскольку суд сделал правильный вывод о том, что представленные документы содержат указания на вспомогательное назначение спорных объектов по отношению к основным объектам, однако доказательств с {КонсультантПлюс}">
        <w:r>
          <w:rPr>
            <w:sz w:val="20"/>
            <w:color w:val="0000ff"/>
          </w:rPr>
          <w:t xml:space="preserve">определения</w:t>
        </w:r>
      </w:hyperlink>
      <w:r>
        <w:rPr>
          <w:sz w:val="20"/>
        </w:rPr>
        <w:t xml:space="preserve"> Высшего Арбитражного Суда Российской Федерации от 3 декабря 2012 г. N ВАС-15260/12, определений Верховного Суда Российской Федерации от 11 марта 2015 г. </w:t>
      </w:r>
      <w:hyperlink w:history="0" r:id="rId13" w:tooltip="Определение Верховного Суда РФ от 11.03.2015 N 308-ЭС15-1282 по делу N А32-13191/2014 Требование: О пересмотре в кассационном порядке судебных актов по делу о возложении обязанности осуществить снос самовольно возведенного объекта капитального строительства. Решение: В передаче кассационной жалобы для рассмотрения в судебном заседании Судебной коллегии по экономическим спорам Верховного Суда РФ отказано, так как спорное сооружение не подпадало под признаки самовольной постройки. {КонсультантПлюс}">
        <w:r>
          <w:rPr>
            <w:sz w:val="20"/>
            <w:color w:val="0000ff"/>
          </w:rPr>
          <w:t xml:space="preserve">N 308-ЭС15-1282</w:t>
        </w:r>
      </w:hyperlink>
      <w:r>
        <w:rPr>
          <w:sz w:val="20"/>
        </w:rPr>
        <w:t xml:space="preserve">, от 10 декабря 2018 г. </w:t>
      </w:r>
      <w:hyperlink w:history="0" r:id="rId14" w:tooltip="Определение Верховного Суда РФ от 10.12.2018 N 306-ЭС18-20002 по делу N А49-9917/2016 Требование: О пересмотре в кассационном порядке судебных актов по делу об обязании снести объект самовольного строительства. Решение: В передаче дела в Судебную коллегию по экономическим спорам Верховного Суда РФ отказано, так как суды пришли к правильному выводу о том, что спорный объект не является вспомогательным, в отсутствие доказательств, свидетельствующих о наличии безусловной связи спорного объекта с основным здани {КонсультантПлюс}">
        <w:r>
          <w:rPr>
            <w:sz w:val="20"/>
            <w:color w:val="0000ff"/>
          </w:rPr>
          <w:t xml:space="preserve">N 306-ЭС18-20002</w:t>
        </w:r>
      </w:hyperlink>
      <w:r>
        <w:rPr>
          <w:sz w:val="20"/>
        </w:rPr>
        <w:t xml:space="preserve"> следует, что объекты вспомогательного использования предназначены для обслуживания основного объекта и критерием для отнесения строений и сооружений к вспомогательным является наличие на земельном участке основного здания, строения или сооружения. В </w:t>
      </w:r>
      <w:hyperlink w:history="0" r:id="rId15" w:tooltip="Определение Верховного Суда РФ от 14.01.2019 N 306-ЭС18-24283 по делу N А49-11317/2016 Требование: О пересмотре в кассационном порядке судебных актов по делу об обязании снести объект самовольного строительства и по встречному иску ответчика о признании права собственности на спорную постройку. Решение: В передаче кассационной жалобы для рассмотрения в судебном заседании Судебной коллегии по экономическим спорам ВС РФ отказано, поскольку суды пришли к выводу о наличии оснований для удовлетворения первоначал {КонсультантПлюс}">
        <w:r>
          <w:rPr>
            <w:sz w:val="20"/>
            <w:color w:val="0000ff"/>
          </w:rPr>
          <w:t xml:space="preserve">определении</w:t>
        </w:r>
      </w:hyperlink>
      <w:r>
        <w:rPr>
          <w:sz w:val="20"/>
        </w:rPr>
        <w:t xml:space="preserve"> Верховного Суда Российской Федерации от 14 января 2019 г. N 306-ЭС18-24283 в рамках спора о том, относится ли объект к числу вспомогательных или нет, был сделан вывод о том, что, поскольку заключением судебной экспертизы установлено, что спорная постройка относится к объектам повышенного уровня ответственности в связи с наличием грузоподъемного механизма - кран-балки, не относится к объектам вспомогательного использования, не связана со строительством расположенных на земельном участке нежилых зданий гаражей и линейного сооружения, для ее строительства предприниматель должен был получить разрешение на строительство.</w:t>
      </w:r>
    </w:p>
    <w:p>
      <w:pPr>
        <w:pStyle w:val="0"/>
        <w:spacing w:before="200" w:line-rule="auto"/>
        <w:ind w:firstLine="540"/>
        <w:jc w:val="both"/>
      </w:pPr>
      <w:hyperlink w:history="0" r:id="rId16" w:tooltip="Постановление Правительства РФ от 16.02.2008 N 87 (ред. от 27.05.2022) &quot;О составе разделов проектной документации и требованиях к их содержанию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 г. N 87, предусмотрено,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 2 "Схема планировочной организации земельного участка" должен содержать в текстовой части в том числе зонирование территории земельного участка, предоставленного для размещения объекта капитального строительства, обоснование функционального назначения и принципиальной схемы размещения зон, обоснование размещения зданий и сооружений (в том числе основного и вспомогательного назначения) объектов капитального строительства для объектов производственного назначения </w:t>
      </w:r>
      <w:hyperlink w:history="0" r:id="rId17" w:tooltip="Постановление Правительства РФ от 16.02.2008 N 87 (ред. от 27.05.2022) &quot;О составе разделов проектной документации и требованиях к их содержанию&quot; {КонсультантПлюс}">
        <w:r>
          <w:rPr>
            <w:sz w:val="20"/>
            <w:color w:val="0000ff"/>
          </w:rPr>
          <w:t xml:space="preserve">(подпункт "з" пункта 12)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 6 "Проект организации строительства" должен содержать в графической части в том числе календарный план строительства, включая подготовительный период (сроки и последовательность строительства основных и вспомогательных зданий и сооружений, выделение этапов строительства) </w:t>
      </w:r>
      <w:hyperlink w:history="0" r:id="rId18" w:tooltip="Постановление Правительства РФ от 16.02.2008 N 87 (ред. от 27.05.2022) &quot;О составе разделов проектной документации и требованиях к их содержанию&quot; {КонсультантПлюс}">
        <w:r>
          <w:rPr>
            <w:sz w:val="20"/>
            <w:color w:val="0000ff"/>
          </w:rPr>
          <w:t xml:space="preserve">(подпункт "х" пункта 23)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раздел 5 "Проект организации строительства" должен содержать в текстовой части в том числе перечень специальных вспомогательных сооружений, стендов, установок, приспособлений и устройств, требующих разработки рабочих чертежей для их строительства (при необходимости) </w:t>
      </w:r>
      <w:hyperlink w:history="0" r:id="rId19" w:tooltip="Постановление Правительства РФ от 16.02.2008 N 87 (ред. от 27.05.2022) &quot;О составе разделов проектной документации и требованиях к их содержанию&quot; {КонсультантПлюс}">
        <w:r>
          <w:rPr>
            <w:sz w:val="20"/>
            <w:color w:val="0000ff"/>
          </w:rPr>
          <w:t xml:space="preserve">(подпункт "е" пункта 38)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создание зданий и сооружений вспомогательного использования может (должно) предусматриваться в проектной документации объектов капитального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ряде случаев для решения конкретных задач определяется перечень строений и сооружений вспомогательного использования, например, как это сделано в </w:t>
      </w:r>
      <w:hyperlink w:history="0" r:id="rId20" w:tooltip="Постановление Правительства РФ от 31.10.2015 N 1175 (ред. от 12.09.2017) &quot;Об утверждении требований к строениям и сооружениям временного назначения и (или) вспомогательного использования для подготовки и проведения чемпионата мира по футболу FIFA 2018 года и Кубка конфедераций FIFA 2017 года&quot; {КонсультантПлюс}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Требований к строениям и сооружениям временного назначения и (или) вспомогательного использования для подготовки и проведения чемпионата мира по футболу FIFA 2018 года и Кубка конфедераций FIFA 2017 года, утвержденных постановлением Правительства Российской Федерации от 31 октября 2015 г. N 1175 (далее - Требования N 1175).</w:t>
      </w:r>
    </w:p>
    <w:p>
      <w:pPr>
        <w:pStyle w:val="0"/>
        <w:spacing w:before="200" w:line-rule="auto"/>
        <w:ind w:firstLine="540"/>
        <w:jc w:val="both"/>
      </w:pPr>
      <w:hyperlink w:history="0" r:id="rId21" w:tooltip="Постановление Правительства РФ от 31.10.2015 N 1175 (ред. от 12.09.2017) &quot;Об утверждении требований к строениям и сооружениям временного назначения и (или) вспомогательного использования для подготовки и проведения чемпионата мира по футболу FIFA 2018 года и Кубка конфедераций FIFA 2017 года&quot; {КонсультантПлюс}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Требований N 1175 установлено, что размещение строений и сооружений временного назначения и (или) вспомогательного использования внутри и на территории объектов капитального строительства определяется проектной документацией.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Сводом правил </w:t>
      </w:r>
      <w:hyperlink w:history="0" r:id="rId22" w:tooltip="Ссылка на КонсультантПлюс">
        <w:r>
          <w:rPr>
            <w:sz w:val="20"/>
            <w:color w:val="0000ff"/>
          </w:rPr>
          <w:t xml:space="preserve">N 31-115-2008</w:t>
        </w:r>
      </w:hyperlink>
      <w:r>
        <w:rPr>
          <w:sz w:val="20"/>
        </w:rPr>
        <w:t xml:space="preserve"> "Открытые физкультурно-спортивные сооружения. Часть 4. Экстремальные виды спорта", утвержденным приказом ОАО "ИОЗ" от 28 августа 2008 г. N 12в, приказом Международной академии футбольной и спортивной индустрии от 15 сентября 2008 г. N 9, предусмотрено, что здания и помещения вспомогательного назначения при спортивных трассах или сооружениях проектируются в соответствии с положениями </w:t>
      </w:r>
      <w:hyperlink w:history="0" r:id="rId23" w:tooltip="Ссылка на КонсультантПлюс">
        <w:r>
          <w:rPr>
            <w:sz w:val="20"/>
            <w:color w:val="0000ff"/>
          </w:rPr>
          <w:t xml:space="preserve">СНиП 31-06-2009</w:t>
        </w:r>
      </w:hyperlink>
      <w:r>
        <w:rPr>
          <w:sz w:val="20"/>
        </w:rPr>
        <w:t xml:space="preserve"> и </w:t>
      </w:r>
      <w:hyperlink w:history="0" r:id="rId24" w:tooltip="Ссылка на КонсультантПлюс">
        <w:r>
          <w:rPr>
            <w:sz w:val="20"/>
            <w:color w:val="0000ff"/>
          </w:rPr>
          <w:t xml:space="preserve">СП 31-115-2006</w:t>
        </w:r>
      </w:hyperlink>
      <w:r>
        <w:rPr>
          <w:sz w:val="20"/>
        </w:rPr>
        <w:t xml:space="preserve">, а также нормативными документами, соответствующими назначению здания.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Минстроем России согласована следующая позиция (письмо от 16 марта 2020 г. N 9394-ДВ/08):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учитывая, что под объектами вспомогательного использования следует понимать объекты, предназначенные для обслуживания и эксплуатации основного объекта и не имеющие возможности самостоятельного использования для иной деятельности, представляется, что возведение таких объектов возможно при наличии на земельном участке основного объекта, для обслуживания которого планируется возведение объекта вспомогательного использования;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наличии выданного уполномоченным органом или организацией разрешения на строительство основного объекта застройщик может самостоятельно определять очередность строительства объектов на участке (в частности, построить объект вспомогательного использования до основного в соответствии с проектной документацией);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25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частям 1</w:t>
        </w:r>
      </w:hyperlink>
      <w:r>
        <w:rPr>
          <w:sz w:val="20"/>
        </w:rPr>
        <w:t xml:space="preserve"> и </w:t>
      </w:r>
      <w:hyperlink w:history="0" r:id="rId26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2 статьи 37</w:t>
        </w:r>
      </w:hyperlink>
      <w:r>
        <w:rPr>
          <w:sz w:val="20"/>
        </w:rPr>
        <w:t xml:space="preserve"> ГрК РФ виды разрешенного использования земельных участков и объектов капитального строительства подразделяются на основные, условно разрешенные и вспомогательные и устанавливаются применительно к каждой территориальной зоне;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этой связи допустимость возведения объектов вспомогательного использования должна обеспечиваться правилами землепользования и застройки, при соблюдении предельных параметров разрешенного строительства, реконструкции объектов капитального строительства.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изложенное, также необходимо отметить, что объекты вспомогательного использования возводятся на одном земельном участке с основным объектом.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к числу объектов капитального строительства вспомогательного использования, по мнению Росреестра, могут относиться здания, строения, сооружения, не имеющие самостоятельного хозяйственного назначения и предназначенные для обслуживания другого (главного) объекта капитального строительства. При этом размещение объекта капитального строительства вспомогательного использования предусматривается проектной документацией. Вместе с тем застройщиком может быть принято решение о создании объекта капитального строительства вспомогательного использования и в процессе эксплуатации ранее созданных основных (главных) объектов капитального строительства, в связи с чем в указанном случае размещение объекта вспомогательного использования не будет предусмотрено проектной документацией (к примеру, собственником комплекса зданий на единой территории в целях организации пропускного режима может быть принято решение о создании объекта вспомогательного использования - поста охраны или контрольно-пропускного пункта, строительство которого не потребует разрешения на строительство и подготовки отдельной проектной документации).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Учитывая изложенное, по мнению Росреестра, не могут быть отнесены к числу объектов вспомогательного использования объекты капитального строительства, имеющие одинаковую функцию с основными (главными) объектами (так, при наличии на земельном участке здания торгового центра в качестве основного объекта не может считаться объектом вспомогательного использования другой объект с аналогичным назначением и разрешенным использованием, к примеру являющееся объектом капитального строительства здание магазина, имеющее меньшие в сравнении со зданием торгового центра параметры, расположенное на этом же земельном участке).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Об отнесении объектов вспомогательного использования к недвижимому имуществу.</w:t>
      </w:r>
    </w:p>
    <w:p>
      <w:pPr>
        <w:pStyle w:val="0"/>
        <w:spacing w:before="200" w:line-rule="auto"/>
        <w:ind w:firstLine="540"/>
        <w:jc w:val="both"/>
      </w:pPr>
      <w:hyperlink w:history="0" r:id="rId27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 определено понятие некапитальных строений, сооружений как строений, сооружений, не имеющих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киоски, навесы и другие подобные строения, сооружения) (</w:t>
      </w:r>
      <w:hyperlink w:history="0" r:id="rId28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пункт 10.2 статьи 1</w:t>
        </w:r>
      </w:hyperlink>
      <w:r>
        <w:rPr>
          <w:sz w:val="20"/>
        </w:rPr>
        <w:t xml:space="preserve"> ГрК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Принимая во внимание положения </w:t>
      </w:r>
      <w:hyperlink w:history="0" r:id="rId29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sz w:val="20"/>
            <w:color w:val="0000ff"/>
          </w:rPr>
          <w:t xml:space="preserve">статьи 130</w:t>
        </w:r>
      </w:hyperlink>
      <w:r>
        <w:rPr>
          <w:sz w:val="20"/>
        </w:rPr>
        <w:t xml:space="preserve"> Гражданского кодекса Российской Федерации (далее - ГК РФ), некапитальные строения и сооружения, являясь объектами строительства, объектами недвижимости не являются.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строения, сооружения вспомогательного использования в зависимости от их соответствия положениям </w:t>
      </w:r>
      <w:hyperlink w:history="0" r:id="rId30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sz w:val="20"/>
            <w:color w:val="0000ff"/>
          </w:rPr>
          <w:t xml:space="preserve">статьи 130</w:t>
        </w:r>
      </w:hyperlink>
      <w:r>
        <w:rPr>
          <w:sz w:val="20"/>
        </w:rPr>
        <w:t xml:space="preserve"> ГК РФ могут являться или не являться объектами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сложившейся судебной практике (</w:t>
      </w:r>
      <w:hyperlink w:history="0" r:id="rId31" w:tooltip="Постановление Пленума Верховного Суда РФ от 23.06.2015 N 25 &quot;О применении судами некоторых положений раздела I части первой Гражданского кодекса Российской Федерации&quot; {КонсультантПлюс}">
        <w:r>
          <w:rPr>
            <w:sz w:val="20"/>
            <w:color w:val="0000ff"/>
          </w:rPr>
          <w:t xml:space="preserve">пункт 38</w:t>
        </w:r>
      </w:hyperlink>
      <w:r>
        <w:rPr>
          <w:sz w:val="20"/>
        </w:rPr>
        <w:t xml:space="preserve"> постановления Пленума Верховного Суда Российской Федерации от 23 июня 2015 г. N 25 "О применении судами некоторых положений раздела I части первой Гражданского кодекса Российской Федерации", </w:t>
      </w:r>
      <w:hyperlink w:history="0" r:id="rId32" w:tooltip="&quot;Обзор судебной практики по вопросам, возникающим при рассмотрении дел, связанных с садоводческими, огородническими и дачными некоммерческими объединениями, за 2010 - 2013 год&quot; (утв. Президиумом Верховного Суда РФ 02.07.2014) {КонсультантПлюс}">
        <w:r>
          <w:rPr>
            <w:sz w:val="20"/>
            <w:color w:val="0000ff"/>
          </w:rPr>
          <w:t xml:space="preserve">пункт 2.4</w:t>
        </w:r>
      </w:hyperlink>
      <w:r>
        <w:rPr>
          <w:sz w:val="20"/>
        </w:rPr>
        <w:t xml:space="preserve"> Обзора судебной практики по вопросам, возникающим при рассмотрении дел, связанных с садоводческими, огородническими и дачными некоммерческими объединениями, за 2010 - 2013 годы, утвержденного Президиумом Верховного Суда Российской Федерации 2 июля 2014 г., </w:t>
      </w:r>
      <w:hyperlink w:history="0" r:id="rId33" w:tooltip="&quot;Обзор судебной практики Верховного Суда Российской Федерации N 1 (2016)&quot; (утв. Президиумом Верховного Суда РФ 13.04.2016) {КонсультантПлюс}">
        <w:r>
          <w:rPr>
            <w:sz w:val="20"/>
            <w:color w:val="0000ff"/>
          </w:rPr>
          <w:t xml:space="preserve">Обзора</w:t>
        </w:r>
      </w:hyperlink>
      <w:r>
        <w:rPr>
          <w:sz w:val="20"/>
        </w:rPr>
        <w:t xml:space="preserve"> судебной практики Верховного Суда Российской Федерации N 1 (2016), утвержденного Президиумом Верховного Суда Российской Федерации 13 апреля 2016 г., </w:t>
      </w:r>
      <w:hyperlink w:history="0" r:id="rId34" w:tooltip="&quot;Обзор судебной практики по делам, связанным с оспариванием отказа в осуществлении кадастрового учета&quot; (утв. Президиумом Верховного Суда РФ 30.11.2016) {КонсультантПлюс}">
        <w:r>
          <w:rPr>
            <w:sz w:val="20"/>
            <w:color w:val="0000ff"/>
          </w:rPr>
          <w:t xml:space="preserve">пункт 25</w:t>
        </w:r>
      </w:hyperlink>
      <w:r>
        <w:rPr>
          <w:sz w:val="20"/>
        </w:rPr>
        <w:t xml:space="preserve"> Обзора судебной практики по делам, связанным с оспариванием отказа в осуществлении кадастрового учета, утвержденного Президиумом Верховного Суда Российской Федерации 30 ноября 2016 г.) вопрос об отнесении конкретного имущества к недвижимому должен разрешаться на стадии его создания (в соответствии с положениями </w:t>
      </w:r>
      <w:hyperlink w:history="0" r:id="rId35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РФ, применяемыми в отношении объектов капитального строительства), а также с учетом наличия самостоятельного назначения этого имущества (по отношению к земельному участку, на котором такое имущество расположено) и способности выступать в гражданском обороте в качестве отдельных объектов гражданских прав.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следует учитывать, что органом регистрации прав по результатам рассмотрения заявления и документов, представленных в целях осуществления государственного кадастрового учета и (или) государственной регистрации прав на объект, не являющийся объектом недвижимого имущества, в соответствии с </w:t>
      </w:r>
      <w:hyperlink w:history="0" r:id="rId36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пунктом 19 части 1 статьи 26</w:t>
        </w:r>
      </w:hyperlink>
      <w:r>
        <w:rPr>
          <w:sz w:val="20"/>
        </w:rPr>
        <w:t xml:space="preserve">, </w:t>
      </w:r>
      <w:hyperlink w:history="0" r:id="rId37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статьей 27</w:t>
        </w:r>
      </w:hyperlink>
      <w:r>
        <w:rPr>
          <w:sz w:val="20"/>
        </w:rPr>
        <w:t xml:space="preserve"> Федерального закона от 13 июля 2015 г. N 218-ФЗ "О государственной регистрации недвижимости" (далее - Закон N 218-ФЗ) такие учетно-регистрационные действия приостанавливаются, после чего в их проведении отказывается.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Одновременно тот факт, что объект вспомогательного использования может являться некапитальным строением или сооружением, следует учитывать и в ходе кадастровой деятельности, учитывая, что согласно </w:t>
      </w:r>
      <w:hyperlink w:history="0" r:id="rId38" w:tooltip="Федеральный закон от 24.07.2007 N 221-ФЗ (ред. от 01.05.2022) &quot;О кадастровой деятельности&quot; (с изм. и доп., вступ. в силу с 01.07.2022) {КонсультантПлюс}">
        <w:r>
          <w:rPr>
            <w:sz w:val="20"/>
            <w:color w:val="0000ff"/>
          </w:rPr>
          <w:t xml:space="preserve">пункту 2 части 2 статьи 29.1</w:t>
        </w:r>
      </w:hyperlink>
      <w:r>
        <w:rPr>
          <w:sz w:val="20"/>
        </w:rPr>
        <w:t xml:space="preserve"> Федерального закона от 24 июля 2007 г. N 221-ФЗ "О кадастровой деятельности" кадастровый инженер обязан отказаться от заключения договора подряда на выполнение кадастровых работ в случае, если объект недвижимости, в отношении которого заказчик кадастровых работ предполагает выполнение таких работ, не является объектом недвижимости, в отношении которого осуществляется кадастровый учет в соответствии с </w:t>
      </w:r>
      <w:hyperlink w:history="0" r:id="rId39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218-ФЗ, а за внесение кадастровым инженером заведомо ложных сведений в технический план кадастровый инженер несет предусмотренную законом ответственность (</w:t>
      </w:r>
      <w:hyperlink w:history="0" r:id="rId40" w:tooltip="&quot;Кодекс Российской Федерации об административных правонарушениях&quot; от 30.12.2001 N 195-ФЗ (ред. от 04.11.2022, с изм. от 24.11.2022) {КонсультантПлюс}">
        <w:r>
          <w:rPr>
            <w:sz w:val="20"/>
            <w:color w:val="0000ff"/>
          </w:rPr>
          <w:t xml:space="preserve">статья 14.35</w:t>
        </w:r>
      </w:hyperlink>
      <w:r>
        <w:rPr>
          <w:sz w:val="20"/>
        </w:rPr>
        <w:t xml:space="preserve"> Кодекса Российской Федерации об административных правонарушениях, </w:t>
      </w:r>
      <w:hyperlink w:history="0" r:id="rId41" w:tooltip="&quot;Уголовный кодекс Российской Федерации&quot; от 13.06.1996 N 63-ФЗ (ред. от 24.09.2022) {КонсультантПлюс}">
        <w:r>
          <w:rPr>
            <w:sz w:val="20"/>
            <w:color w:val="0000ff"/>
          </w:rPr>
          <w:t xml:space="preserve">статья 170.2</w:t>
        </w:r>
      </w:hyperlink>
      <w:r>
        <w:rPr>
          <w:sz w:val="20"/>
        </w:rPr>
        <w:t xml:space="preserve"> Уголовного кодекса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Так, необходимо принимать во внимание, что в соответствии со </w:t>
      </w:r>
      <w:hyperlink w:history="0" r:id="rId42" w:tooltip="Федеральный закон от 29.07.2017 N 217-ФЗ (ред. от 14.07.2022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статьей 3</w:t>
        </w:r>
      </w:hyperlink>
      <w:r>
        <w:rPr>
          <w:sz w:val="20"/>
        </w:rPr>
        <w:t xml:space="preserve"> Федерального закона от 29 июля 2017 г.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 (далее - Закон N 217-ФЗ):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правообладатель садового земельного участка имеет право возведения на таком земельном участке хозяйственных построек, в том числе временных, то есть не относящихся к недвижимому имуществу, к примеру теплиц или навесов;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правообладатель огородного земельного участка имеет право создания на данном земельном участке исключительно объектов, не являющихся объектами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учетом предусмотренных </w:t>
      </w:r>
      <w:hyperlink w:history="0" r:id="rId43" w:tooltip="Федеральный закон от 29.07.2017 N 217-ФЗ (ред. от 14.07.2022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N 217-ФЗ положений такие объекты, как теплицы или навесы, расположенные на садовых или огородных участках, не могут являться объектами кадастровых работ и объектами кадастрового учета.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 использовании земельных участков для размещения объектов вспомогательного использования.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Как установлено </w:t>
      </w:r>
      <w:hyperlink w:history="0" r:id="rId44" w:tooltip="&quot;Земельный кодекс Российской Федерации&quot; от 25.10.2001 N 136-ФЗ (ред. от 14.07.2022) (с изм. и доп., вступ. в силу с 13.10.2022) {КонсультантПлюс}">
        <w:r>
          <w:rPr>
            <w:sz w:val="20"/>
            <w:color w:val="0000ff"/>
          </w:rPr>
          <w:t xml:space="preserve">подпунктом 2 пункта 1 статьи 40</w:t>
        </w:r>
      </w:hyperlink>
      <w:r>
        <w:rPr>
          <w:sz w:val="20"/>
        </w:rPr>
        <w:t xml:space="preserve"> Земельного кодекса Российской Федерации (далее - ЗК РФ), собственник земельного участка имеет право возводить жилые, производственные, культурно-бытовые и иные здания,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регламентов, строительных, экологических, санитарно-гигиенических, противопожарных и иных правил, нормативов.</w:t>
      </w:r>
    </w:p>
    <w:p>
      <w:pPr>
        <w:pStyle w:val="0"/>
        <w:spacing w:before="200" w:line-rule="auto"/>
        <w:ind w:firstLine="540"/>
        <w:jc w:val="both"/>
      </w:pPr>
      <w:hyperlink w:history="0" r:id="rId45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sz w:val="20"/>
            <w:color w:val="0000ff"/>
          </w:rPr>
          <w:t xml:space="preserve">Пунктом 1 статьи 263</w:t>
        </w:r>
      </w:hyperlink>
      <w:r>
        <w:rPr>
          <w:sz w:val="20"/>
        </w:rPr>
        <w:t xml:space="preserve"> ГК РФ предусмотрено, что собственник земельного участка может возводить на нем здания и сооружения, осуществлять их перестройку или снос, разрешать строительство на своем участке другим лицам. Эти права осуществляются при условии соблюдения градостроительных и строительных норм и правил, а также требований о целевом назначении земельного участка (</w:t>
      </w:r>
      <w:hyperlink w:history="0" r:id="rId46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sz w:val="20"/>
            <w:color w:val="0000ff"/>
          </w:rPr>
          <w:t xml:space="preserve">пункт 2 статьи 260</w:t>
        </w:r>
      </w:hyperlink>
      <w:r>
        <w:rPr>
          <w:sz w:val="20"/>
        </w:rPr>
        <w:t xml:space="preserve"> ГК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Необходимо также учитывать, что на основании </w:t>
      </w:r>
      <w:hyperlink w:history="0" r:id="rId47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части 1 статьи 36</w:t>
        </w:r>
      </w:hyperlink>
      <w:r>
        <w:rPr>
          <w:sz w:val="20"/>
        </w:rPr>
        <w:t xml:space="preserve"> ГрК РФ правовой режим земельных участков, равно как и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определяется градостроительным регламентом. В соответствии со </w:t>
      </w:r>
      <w:hyperlink w:history="0" r:id="rId48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статьями 37</w:t>
        </w:r>
      </w:hyperlink>
      <w:r>
        <w:rPr>
          <w:sz w:val="20"/>
        </w:rPr>
        <w:t xml:space="preserve"> и </w:t>
      </w:r>
      <w:hyperlink w:history="0" r:id="rId49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38</w:t>
        </w:r>
      </w:hyperlink>
      <w:r>
        <w:rPr>
          <w:sz w:val="20"/>
        </w:rPr>
        <w:t xml:space="preserve"> ГрК РФ в градостроительном регламенте также указываются виды разрешенного использования и предельные параметры объектов капитального строительства. При этом каких-либо исключений в отношении видов разрешенного использования и параметров разрешенного строительства объектов вспомогательного использования </w:t>
      </w:r>
      <w:hyperlink w:history="0" r:id="rId50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 не предусматривает.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несмотря на то, что для строительства объектов вспомогательного назначения не требуется разрешение на строительство, возведение таких объектов должно осуществляться с учетом требований градостроительного регламента.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Согласно </w:t>
      </w:r>
      <w:hyperlink w:history="0" r:id="rId51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части 10 статьи 40</w:t>
        </w:r>
      </w:hyperlink>
      <w:r>
        <w:rPr>
          <w:sz w:val="20"/>
        </w:rPr>
        <w:t xml:space="preserve"> Закона N 218-ФЗ государственный кадастровый учет и государственная регистрация прав на созданные здание или сооружение, для строительства которых в соответствии с федеральными законами не требуется разрешение на строительство, а также на соответствующий объект незавершенного строительства осуществляются на основании технического плана таких объектов недвижимости и правоустанавливающего документа на земельный участок, на котором расположены такие объекты недвижимости, либо документа, подтверждающего в соответствии с </w:t>
      </w:r>
      <w:hyperlink w:history="0" r:id="rId52" w:tooltip="&quot;Земельный кодекс Российской Федерации&quot; от 25.10.2001 N 136-ФЗ (ред. от 14.07.2022) (с изм. и доп., вступ. в силу с 13.10.2022) {КонсультантПлюс}">
        <w:r>
          <w:rPr>
            <w:sz w:val="20"/>
            <w:color w:val="0000ff"/>
          </w:rPr>
          <w:t xml:space="preserve">ЗК</w:t>
        </w:r>
      </w:hyperlink>
      <w:r>
        <w:rPr>
          <w:sz w:val="20"/>
        </w:rPr>
        <w:t xml:space="preserve"> РФ возможность размещения таких созданных сооружений, а также соответствующих объектов незавершенного строительства без предоставления земельного участка или установления сервитута.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Осуществление государственного кадастрового учета и (или) государственной регистрации прав в силу </w:t>
      </w:r>
      <w:hyperlink w:history="0" r:id="rId53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пункта 22 части 1 статьи 26</w:t>
        </w:r>
      </w:hyperlink>
      <w:r>
        <w:rPr>
          <w:sz w:val="20"/>
        </w:rPr>
        <w:t xml:space="preserve"> Закона N 218-ФЗ приостанавливается по решению государственного регистратора прав также в случае, если созданный (создаваемый) объект недвижимости, при строительстве (реконструкции) которого в соответствии с законодательством не требуется выдача разрешения на строительство, разрешения на ввод в эксплуатацию, не соответствует виду разрешенного использования земельного участка, на котором он создан (создается), или не соответствует градостроительному регламенту в случае, если правообладатель такого земельного участка вправе выбрать вид разрешенного использования этого земельного участка без согласований и разрешений.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Таким образом, размещение тех или иных объектов недвижимости, определение их статуса в качестве основных или вспомогательных осуществляются также исходя из правового режима земельного участка, требований градостроительных регламентов, иных норм и требований, предусмотренных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основании изложенного, по мнению Росреестра, государственный кадастровый учет и государственная регистрация прав на созданные здание или сооружение, являющиеся в соответствии с требованиями законодательства о градостроительной деятельности объектами вспомогательного использования по отношению к объектам капитального строительства производственного назначения или непроизводственного назначения - зданиям, сооружениям жилищного, социально-культурного и коммунально-бытового назначения, могут быть осуществлены в порядке, предусмотренном </w:t>
      </w:r>
      <w:hyperlink w:history="0" r:id="rId54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частью 10 статьи 40</w:t>
        </w:r>
      </w:hyperlink>
      <w:r>
        <w:rPr>
          <w:sz w:val="20"/>
        </w:rPr>
        <w:t xml:space="preserve"> Закона N 218-ФЗ, при условии, что такой объект вспомогательного использования отвечает требованиям, предъявляемым законодательством Российской Федерации к недвижимому имуществу, а также у него отсутствуют признаки самовольной постройки (</w:t>
      </w:r>
      <w:hyperlink w:history="0" r:id="rId55" w:tooltip="&quot;Гражданский кодекс Российской Федерации (часть первая)&quot; от 30.11.1994 N 51-ФЗ (ред. от 25.02.2022) (с изм. и доп., вступ. в силу с 01.09.2022) {КонсультантПлюс}">
        <w:r>
          <w:rPr>
            <w:sz w:val="20"/>
            <w:color w:val="0000ff"/>
          </w:rPr>
          <w:t xml:space="preserve">статья 222</w:t>
        </w:r>
      </w:hyperlink>
      <w:r>
        <w:rPr>
          <w:sz w:val="20"/>
        </w:rPr>
        <w:t xml:space="preserve"> ГК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56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частью 11 статьи 24</w:t>
        </w:r>
      </w:hyperlink>
      <w:r>
        <w:rPr>
          <w:sz w:val="20"/>
        </w:rPr>
        <w:t xml:space="preserve"> Закона N 218-ФЗ, если законодательством Российской Федерации в отношении объектов недвижимости (за исключением единого недвижимого комплекса) не предусмотрены подготовка и (или) выдача указанных в </w:t>
      </w:r>
      <w:hyperlink w:history="0" r:id="rId57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частях 8</w:t>
        </w:r>
      </w:hyperlink>
      <w:r>
        <w:rPr>
          <w:sz w:val="20"/>
        </w:rPr>
        <w:t xml:space="preserve"> - </w:t>
      </w:r>
      <w:hyperlink w:history="0" r:id="rId58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10</w:t>
        </w:r>
      </w:hyperlink>
      <w:r>
        <w:rPr>
          <w:sz w:val="20"/>
        </w:rPr>
        <w:t xml:space="preserve"> названной статьи разрешений и проектной документации, соответствующие сведения указываются в техническом плане на основании декларации, составленной и заверенной правообладателем объекта недвижимости. </w:t>
      </w:r>
      <w:hyperlink w:history="0" r:id="rId59" w:tooltip="Приказ Минэкономразвития России от 18.12.2015 N 953 (ред. от 25.09.2019) &quot;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&quot; (Зарегистрировано в Минюсте России 02.03.2016 N 41304) ------------ Утратил силу или отменен {КонсультантПлюс}">
        <w:r>
          <w:rPr>
            <w:sz w:val="20"/>
            <w:color w:val="0000ff"/>
          </w:rPr>
          <w:t xml:space="preserve">Форма</w:t>
        </w:r>
      </w:hyperlink>
      <w:r>
        <w:rPr>
          <w:sz w:val="20"/>
        </w:rPr>
        <w:t xml:space="preserve"> декларации об объекте недвижимости, а также </w:t>
      </w:r>
      <w:hyperlink w:history="0" r:id="rId60" w:tooltip="Приказ Минэкономразвития России от 18.12.2015 N 953 (ред. от 25.09.2019) &quot;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&quot; (Зарегистрировано в Минюсте России 02.03.2016 N 41304) ------------ Утратил силу или отменен {КонсультантПлюс}">
        <w:r>
          <w:rPr>
            <w:sz w:val="20"/>
            <w:color w:val="0000ff"/>
          </w:rPr>
          <w:t xml:space="preserve">требования</w:t>
        </w:r>
      </w:hyperlink>
      <w:r>
        <w:rPr>
          <w:sz w:val="20"/>
        </w:rPr>
        <w:t xml:space="preserve"> к ее подготовке и состав содержащихся в ней сведений утверждены приказом Минэкономразвития России от 18 декабря 2015 г. N 953. Тем не менее при наличии проектной документации, содержащей сведения об объекте строительства, в отношении которого выполняются кадастровые работы, и отсутствии требования о получении разрешения на строительство такого объекта приоритетным является применение при кадастровых работах проектной документации на строительство (</w:t>
      </w:r>
      <w:hyperlink w:history="0" r:id="rId61" w:tooltip="Федеральный закон от 13.07.2015 N 218-ФЗ (ред. от 20.10.2022) &quot;О государственной регистрации недвижимости&quot; ------------ Недействующая редакция {КонсультантПлюс}">
        <w:r>
          <w:rPr>
            <w:sz w:val="20"/>
            <w:color w:val="0000ff"/>
          </w:rPr>
          <w:t xml:space="preserve">часть 8 статьи 24</w:t>
        </w:r>
      </w:hyperlink>
      <w:r>
        <w:rPr>
          <w:sz w:val="20"/>
        </w:rPr>
        <w:t xml:space="preserve"> Закона N 218-ФЗ), а не декларации об объекте недвижимости.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этом в техническом плане в отношении объекта вспомогательного использования в </w:t>
      </w:r>
      <w:hyperlink w:history="0" r:id="rId62" w:tooltip="Приказ Минэкономразвития России от 18.12.2015 N 953 (ред. от 25.09.2019) &quot;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&quot; (Зарегистрировано в Минюсте России 02.03.2016 N 41304) ------------ Утратил силу или отменен {КонсультантПлюс}">
        <w:r>
          <w:rPr>
            <w:sz w:val="20"/>
            <w:color w:val="0000ff"/>
          </w:rPr>
          <w:t xml:space="preserve">строке 14</w:t>
        </w:r>
      </w:hyperlink>
      <w:r>
        <w:rPr>
          <w:sz w:val="20"/>
        </w:rPr>
        <w:t xml:space="preserve"> "Вид (виды) разрешенного использования объекта недвижимости" раздела "Характеристики объекта недвижимости" указываются слова "объект вспомогательного использования" и вид использования (например, "здание контрольно-пропускного пункта"), а в </w:t>
      </w:r>
      <w:hyperlink w:history="0" r:id="rId63" w:tooltip="Приказ Минэкономразвития России от 18.12.2015 N 953 (ред. от 25.09.2019) &quot;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&quot; (Зарегистрировано в Минюсте России 02.03.2016 N 41304) ------------ Утратил силу или отменен {КонсультантПлюс}">
        <w:r>
          <w:rPr>
            <w:sz w:val="20"/>
            <w:color w:val="0000ff"/>
          </w:rPr>
          <w:t xml:space="preserve">разделе</w:t>
        </w:r>
      </w:hyperlink>
      <w:r>
        <w:rPr>
          <w:sz w:val="20"/>
        </w:rPr>
        <w:t xml:space="preserve"> "Заключение кадастрового инженера" целесообразно указать, что в соответствии с </w:t>
      </w:r>
      <w:hyperlink w:history="0" r:id="rId64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 для строительства заявленного на государственный кадастровый учет и государственную регистрацию прав объекта не требуется выдача разрешения на строительство, поскольку он является объектом вспомогательного использования, в частности, указать, каким документом данный объект определен в качестве вспомогательного (при наличии такого документа), в отношении какого объекта такой объект выполняет вспомогательную функцию, в чем именно данная функция заключается. В качестве обоснования отнесения объекта к вспомогательному в состав технического плана может быть включена в том числе проектная документация, подготовленная в отношении основного объекта недвижимости (если законодательством о градостроительной деятельности предусмотрена подготовка такой проектной документации в отношении основного объекта недвижимости).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Ответственность за достоверность отраженной в техническом плане информации об объекте недвижимости в соответствии с действующим законодательством несет кадастровый инженер.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Росреестр полагает необходимым обратить внимание также на то, что в определенных законом случаях создание объектов вспомогательного использования может осуществляться не только лицами, которые обладают на земельный участок вещными и иными правами, например, арендой либо безвозмездным пользованием. Так, в частности, </w:t>
      </w:r>
      <w:hyperlink w:history="0" r:id="rId65" w:tooltip="&quot;Земельный кодекс Российской Федерации&quot; от 25.10.2001 N 136-ФЗ (ред. от 14.07.2022) (с изм. и доп., вступ. в силу с 13.10.2022) {КонсультантПлюс}">
        <w:r>
          <w:rPr>
            <w:sz w:val="20"/>
            <w:color w:val="0000ff"/>
          </w:rPr>
          <w:t xml:space="preserve">ЗК</w:t>
        </w:r>
      </w:hyperlink>
      <w:r>
        <w:rPr>
          <w:sz w:val="20"/>
        </w:rPr>
        <w:t xml:space="preserve"> РФ предусматривает возможность размещения подобных объектов: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без предоставления земельных участков и установления сервитута (</w:t>
      </w:r>
      <w:hyperlink w:history="0" r:id="rId66" w:tooltip="&quot;Земельный кодекс Российской Федерации&quot; от 25.10.2001 N 136-ФЗ (ред. от 14.07.2022) (с изм. и доп., вступ. в силу с 13.10.2022) {КонсультантПлюс}">
        <w:r>
          <w:rPr>
            <w:sz w:val="20"/>
            <w:color w:val="0000ff"/>
          </w:rPr>
          <w:t xml:space="preserve">подпункт 3 пункта 1 статьи 39.33</w:t>
        </w:r>
      </w:hyperlink>
      <w:r>
        <w:rPr>
          <w:sz w:val="20"/>
        </w:rPr>
        <w:t xml:space="preserve"> ЗК РФ);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на условиях публичного сервитута (</w:t>
      </w:r>
      <w:hyperlink w:history="0" r:id="rId67" w:tooltip="&quot;Земельный кодекс Российской Федерации&quot; от 25.10.2001 N 136-ФЗ (ред. от 14.07.2022) (с изм. и доп., вступ. в силу с 13.10.2022) {КонсультантПлюс}">
        <w:r>
          <w:rPr>
            <w:sz w:val="20"/>
            <w:color w:val="0000ff"/>
          </w:rPr>
          <w:t xml:space="preserve">подпункт 1 статьи 39.37</w:t>
        </w:r>
      </w:hyperlink>
      <w:r>
        <w:rPr>
          <w:sz w:val="20"/>
        </w:rPr>
        <w:t xml:space="preserve"> ЗК РФ).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 объектах вспомогательного использования, расположенных на садовых и приусадебных земельных участках, а также на земельных участках, предназначенных для индивидуального жилищного строительства, в дополнение к ранее направленной в том числе в территориальные органы Росреестра </w:t>
      </w:r>
      <w:hyperlink w:history="0" r:id="rId68" w:tooltip="&lt;Письмо&gt; Минэкономразвития России от 07.11.2018 N 32363-ВА/Д23и &quot;О применении положений Федерального закона от 13 июля 2015 г. N 218-ФЗ и Федерального закона от 3 августа 2018 г. N 340-ФЗ в части кадастрового учета и государственной регистрации прав на объекты индивидуального жилищного строительства и садовые дома&quot; {КонсультантПлюс}">
        <w:r>
          <w:rPr>
            <w:sz w:val="20"/>
            <w:color w:val="0000ff"/>
          </w:rPr>
          <w:t xml:space="preserve">позиции</w:t>
        </w:r>
      </w:hyperlink>
      <w:r>
        <w:rPr>
          <w:sz w:val="20"/>
        </w:rPr>
        <w:t xml:space="preserve"> Минэкономразвития России от 7 ноября 2018 г. N 32363-ВА/Д23и как органа, являвшегося до вступления в силу </w:t>
      </w:r>
      <w:hyperlink w:history="0" r:id="rId69" w:tooltip="Постановление Правительства РФ от 12.02.2020 N 131 (ред. от 30.06.2022) &quot;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Российской Федерации от 12 февраля 2020 г. N 131 "Об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федеральным органом исполнительной власти, осуществлявшим функции по выработке государственной политики и нормативно-правовому регулированию в том числе в сфере осуществления государственного кадастрового учета недвижимого имущества, государственной регистрации прав на недвижимое имущество и сделок с ним, предоставления сведений, содержащихся в Едином государственном реестре недвижимости, отмечаем.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Исходя из положений </w:t>
      </w:r>
      <w:hyperlink w:history="0" r:id="rId70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ГрК</w:t>
        </w:r>
      </w:hyperlink>
      <w:r>
        <w:rPr>
          <w:sz w:val="20"/>
        </w:rPr>
        <w:t xml:space="preserve"> РФ, </w:t>
      </w:r>
      <w:hyperlink w:history="0" r:id="rId71" w:tooltip="Федеральный закон от 29.07.2017 N 217-ФЗ (ред. от 14.07.2022) &quot;О ведении гражданами садоводства и огородничества для собственных нужд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статьи 3</w:t>
        </w:r>
      </w:hyperlink>
      <w:r>
        <w:rPr>
          <w:sz w:val="20"/>
        </w:rPr>
        <w:t xml:space="preserve"> Закона N 217-ФЗ, </w:t>
      </w:r>
      <w:hyperlink w:history="0" r:id="rId72" w:tooltip="Федеральный закон от 07.07.2003 N 112-ФЗ (ред. от 28.06.2021) &quot;О личном подсобном хозяйстве&quot; {КонсультантПлюс}">
        <w:r>
          <w:rPr>
            <w:sz w:val="20"/>
            <w:color w:val="0000ff"/>
          </w:rPr>
          <w:t xml:space="preserve">статьи 4</w:t>
        </w:r>
      </w:hyperlink>
      <w:r>
        <w:rPr>
          <w:sz w:val="20"/>
        </w:rPr>
        <w:t xml:space="preserve"> Федерального закона от 7 июля 2003 г. N 112-ФЗ "О личном подсобном хозяйстве", </w:t>
      </w:r>
      <w:hyperlink w:history="0" r:id="rId73" w:tooltip="Приказ Минэкономразвития России от 01.09.2014 N 540 (ред. от 04.02.2019) &quot;Об утверждении классификатора видов разрешенного использования земельных участков&quot; (Зарегистрировано в Минюсте России 08.09.2014 N 33995) ------------ Утратил силу или отменен {КонсультантПлюс}">
        <w:r>
          <w:rPr>
            <w:sz w:val="20"/>
            <w:color w:val="0000ff"/>
          </w:rPr>
          <w:t xml:space="preserve">Классификатора</w:t>
        </w:r>
      </w:hyperlink>
      <w:r>
        <w:rPr>
          <w:sz w:val="20"/>
        </w:rPr>
        <w:t xml:space="preserve"> видов разрешенного использования земельных участков, утвержденного приказом Минэкономразвития России от 1 сентября 2014 г. N 540, на законодательном уровне не установлено правило о том, что возведение гражданами на садовых и приусадебных земельных участках, а также на земельных участках, предназначенных для индивидуального жилищного строительства, вспомогательных и иных строений (сараев, бань, теплиц, погребов, колодцев и других, в том числе не являющихся недвижимостью), предназначенных для удовлетворения гражданами бытовых и иных нужд, возможно только в случае наличия на земельном участке основного объекта в виде жилого дома или садового дома.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Представляется, что гражданин, являющийся правообладателем такого земельного участка, вправе самостоятельно определить очередность возведения указанных объектов и принять решение об их создании до начала строительства жилого или садового дома, в том числе с учетом того, что в силу </w:t>
      </w:r>
      <w:hyperlink w:history="0" r:id="rId74" w:tooltip="&quot;Градостроительный кодекс Российской Федерации&quot; от 29.12.2004 N 190-ФЗ (ред. от 14.07.2022) (с изм. и доп., вступ. в силу с 01.09.2022) ------------ Недействующая редакция {КонсультантПлюс}">
        <w:r>
          <w:rPr>
            <w:sz w:val="20"/>
            <w:color w:val="0000ff"/>
          </w:rPr>
          <w:t xml:space="preserve">части 3 статьи 48</w:t>
        </w:r>
      </w:hyperlink>
      <w:r>
        <w:rPr>
          <w:sz w:val="20"/>
        </w:rPr>
        <w:t xml:space="preserve"> ГрК РФ для строительства жилого дома или садового дома не требуется подготовка проектной документации, которой могли бы быть предусмотрены сроки и последовательность строительства основных и вспомогательных зданий и сооружений.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Обращаем внимание на то, что, исходя из положений </w:t>
      </w:r>
      <w:hyperlink w:history="0" r:id="rId75" w:tooltip="Постановление Правительства РФ от 13.08.1997 N 1009 (ред. от 02.06.2022) &quot;Об утверждении Правил подготовки нормативных правовых актов федеральных органов исполнительной власти и их государственной регистрации&quot; {КонсультантПлюс}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</w:t>
      </w:r>
      <w:hyperlink w:history="0" r:id="rId76" w:tooltip="Постановление ГД ФС РФ от 11.11.1996 N 781-II ГД &quot;Об обращении в Конституционный Суд Российской Федераци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Государственной Думы Федерального Собрания Российской Федерации от 11 ноября 1996 г. N 781-II ГД "Об обращении в Конституционный Суд Российской Федерации", письма Росреестра не являются нормативными правовыми актами и не запрещают руководствоваться положениями действующего законодательства.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А.И.БУТОВЕЦКИЙ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Росреестра от 13.04.2020 N 3215-АБ/20</w:t>
            <w:br/>
            <w:t>"Об объектах вспомогательного использования"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&lt;Письмо&gt; Росреестра от 13.04.2020 N 3215-АБ/20 "Об объектах вспомогательного использования"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01.12.2022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A53E8B40840A4EAAF6674F36843327C2AEBAA4121B33AEC10747A2ACA09E2DCFA5C352BDE65412E12F438F0F1BD6B484F7A1871BD657C6CFL0xAJ" TargetMode = "External"/>
	<Relationship Id="rId7" Type="http://schemas.openxmlformats.org/officeDocument/2006/relationships/hyperlink" Target="consultantplus://offline/ref=A53E8B40840A4EAAF6674F36843327C2AEBAA4121B33AEC10747A2ACA09E2DCFB7C30AB1E65504E32456D95E5DL8x1J" TargetMode = "External"/>
	<Relationship Id="rId8" Type="http://schemas.openxmlformats.org/officeDocument/2006/relationships/hyperlink" Target="consultantplus://offline/ref=A53E8B40840A4EAAF6674F36843327C2ABBEAB171A32AEC10747A2ACA09E2DCFA5C352BDE6541AE323438F0F1BD6B484F7A1871BD657C6CFL0xAJ" TargetMode = "External"/>
	<Relationship Id="rId9" Type="http://schemas.openxmlformats.org/officeDocument/2006/relationships/hyperlink" Target="consultantplus://offline/ref=A53E8B40840A4EAAF6674F36843327C2ABBEAB171A32AEC10747A2ACA09E2DCFA5C352BDE6541AEA27438F0F1BD6B484F7A1871BD657C6CFL0xAJ" TargetMode = "External"/>
	<Relationship Id="rId10" Type="http://schemas.openxmlformats.org/officeDocument/2006/relationships/hyperlink" Target="consultantplus://offline/ref=A53E8B40840A4EAAF6674F36843327C2AEBAA4121B33AEC10747A2ACA09E2DCFB7C30AB1E65504E32456D95E5DL8x1J" TargetMode = "External"/>
	<Relationship Id="rId11" Type="http://schemas.openxmlformats.org/officeDocument/2006/relationships/hyperlink" Target="consultantplus://offline/ref=A53E8B40840A4EAAF6674F36843327C2ABBEAB171A32AEC10747A2ACA09E2DCFB7C30AB1E65504E32456D95E5DL8x1J" TargetMode = "External"/>
	<Relationship Id="rId12" Type="http://schemas.openxmlformats.org/officeDocument/2006/relationships/hyperlink" Target="consultantplus://offline/ref=A53E8B40840A4EAAF6674225913327C2A9BAA4111C38AEC10747A2ACA09E2DCFB7C30AB1E65504E32456D95E5DL8x1J" TargetMode = "External"/>
	<Relationship Id="rId13" Type="http://schemas.openxmlformats.org/officeDocument/2006/relationships/hyperlink" Target="consultantplus://offline/ref=A53E8B40840A4EAAF6674225913327C2AEB8A3151A3AAEC10747A2ACA09E2DCFB7C30AB1E65504E32456D95E5DL8x1J" TargetMode = "External"/>
	<Relationship Id="rId14" Type="http://schemas.openxmlformats.org/officeDocument/2006/relationships/hyperlink" Target="consultantplus://offline/ref=A53E8B40840A4EAAF6674225913327C2AFBCA0151A39AEC10747A2ACA09E2DCFB7C30AB1E65504E32456D95E5DL8x1J" TargetMode = "External"/>
	<Relationship Id="rId15" Type="http://schemas.openxmlformats.org/officeDocument/2006/relationships/hyperlink" Target="consultantplus://offline/ref=A53E8B40840A4EAAF6674225913327C2AFBCAB141E3DAEC10747A2ACA09E2DCFB7C30AB1E65504E32456D95E5DL8x1J" TargetMode = "External"/>
	<Relationship Id="rId16" Type="http://schemas.openxmlformats.org/officeDocument/2006/relationships/hyperlink" Target="consultantplus://offline/ref=A53E8B40840A4EAAF6674F36843327C2AEBBA6151A3BAEC10747A2ACA09E2DCFA5C352BDE6541AE32F438F0F1BD6B484F7A1871BD657C6CFL0xAJ" TargetMode = "External"/>
	<Relationship Id="rId17" Type="http://schemas.openxmlformats.org/officeDocument/2006/relationships/hyperlink" Target="consultantplus://offline/ref=A53E8B40840A4EAAF6674F36843327C2AEBBA6151A3BAEC10747A2ACA09E2DCFA5C352BDE6541AEA2E438F0F1BD6B484F7A1871BD657C6CFL0xAJ" TargetMode = "External"/>
	<Relationship Id="rId18" Type="http://schemas.openxmlformats.org/officeDocument/2006/relationships/hyperlink" Target="consultantplus://offline/ref=A53E8B40840A4EAAF6674F36843327C2AEBBA6151A3BAEC10747A2ACA09E2DCFA5C352BDE65419E022438F0F1BD6B484F7A1871BD657C6CFL0xAJ" TargetMode = "External"/>
	<Relationship Id="rId19" Type="http://schemas.openxmlformats.org/officeDocument/2006/relationships/hyperlink" Target="consultantplus://offline/ref=A53E8B40840A4EAAF6674F36843327C2AEBBA6151A3BAEC10747A2ACA09E2DCFA5C352BDE6541FE522438F0F1BD6B484F7A1871BD657C6CFL0xAJ" TargetMode = "External"/>
	<Relationship Id="rId20" Type="http://schemas.openxmlformats.org/officeDocument/2006/relationships/hyperlink" Target="consultantplus://offline/ref=A53E8B40840A4EAAF6674F36843327C2A8BDA4171E3DAEC10747A2ACA09E2DCFA5C352BDE6541AE326438F0F1BD6B484F7A1871BD657C6CFL0xAJ" TargetMode = "External"/>
	<Relationship Id="rId21" Type="http://schemas.openxmlformats.org/officeDocument/2006/relationships/hyperlink" Target="consultantplus://offline/ref=A53E8B40840A4EAAF6674F36843327C2A8BDA4171E3DAEC10747A2ACA09E2DCFA5C352BDE6541AE524438F0F1BD6B484F7A1871BD657C6CFL0xAJ" TargetMode = "External"/>
	<Relationship Id="rId22" Type="http://schemas.openxmlformats.org/officeDocument/2006/relationships/hyperlink" Target="consultantplus://offline/ref=A53E8B40840A4EAAF6675023813327C2ABB9A7191A30F3CB0F1EAEAEA79172CAA2D252BCE74A1BE0384ADB5CL5xDJ" TargetMode = "External"/>
	<Relationship Id="rId23" Type="http://schemas.openxmlformats.org/officeDocument/2006/relationships/hyperlink" Target="consultantplus://offline/ref=A53E8B40840A4EAAF6675023813327C2A8BEAA111F30F3CB0F1EAEAEA79172CAA2D252BCE74A1BE0384ADB5CL5xDJ" TargetMode = "External"/>
	<Relationship Id="rId24" Type="http://schemas.openxmlformats.org/officeDocument/2006/relationships/hyperlink" Target="consultantplus://offline/ref=A53E8B40840A4EAAF6675023813327C2A2BBA316106DF9C35612ACA9A8CE77DFB38A5FBDF85518FC2448D9L5xCJ" TargetMode = "External"/>
	<Relationship Id="rId25" Type="http://schemas.openxmlformats.org/officeDocument/2006/relationships/hyperlink" Target="consultantplus://offline/ref=A53E8B40840A4EAAF6674F36843327C2AEBAA4121B33AEC10747A2ACA09E2DCFA5C352BDE6541FEB20438F0F1BD6B484F7A1871BD657C6CFL0xAJ" TargetMode = "External"/>
	<Relationship Id="rId26" Type="http://schemas.openxmlformats.org/officeDocument/2006/relationships/hyperlink" Target="consultantplus://offline/ref=A53E8B40840A4EAAF6674F36843327C2AEBAA4121B33AEC10747A2ACA09E2DCFA5C352BDE6541CE226438F0F1BD6B484F7A1871BD657C6CFL0xAJ" TargetMode = "External"/>
	<Relationship Id="rId27" Type="http://schemas.openxmlformats.org/officeDocument/2006/relationships/hyperlink" Target="consultantplus://offline/ref=A53E8B40840A4EAAF6674F36843327C2AEBAA4121B33AEC10747A2ACA09E2DCFB7C30AB1E65504E32456D95E5DL8x1J" TargetMode = "External"/>
	<Relationship Id="rId28" Type="http://schemas.openxmlformats.org/officeDocument/2006/relationships/hyperlink" Target="consultantplus://offline/ref=A53E8B40840A4EAAF6674F36843327C2AEBAA4121B33AEC10747A2ACA09E2DCFA5C352BEE25613E972199F0B5283B89AF7BD981BC857LCx4J" TargetMode = "External"/>
	<Relationship Id="rId29" Type="http://schemas.openxmlformats.org/officeDocument/2006/relationships/hyperlink" Target="consultantplus://offline/ref=A53E8B40840A4EAAF6674F36843327C2AEBBA3171B3DAEC10747A2ACA09E2DCFA5C352BDE6541DEB22438F0F1BD6B484F7A1871BD657C6CFL0xAJ" TargetMode = "External"/>
	<Relationship Id="rId30" Type="http://schemas.openxmlformats.org/officeDocument/2006/relationships/hyperlink" Target="consultantplus://offline/ref=A53E8B40840A4EAAF6674F36843327C2AEBBA3171B3DAEC10747A2ACA09E2DCFA5C352BDE6541DEB22438F0F1BD6B484F7A1871BD657C6CFL0xAJ" TargetMode = "External"/>
	<Relationship Id="rId31" Type="http://schemas.openxmlformats.org/officeDocument/2006/relationships/hyperlink" Target="consultantplus://offline/ref=A53E8B40840A4EAAF6674F36843327C2ABB2A2161B39AEC10747A2ACA09E2DCFA5C352BDE6541BE327438F0F1BD6B484F7A1871BD657C6CFL0xAJ" TargetMode = "External"/>
	<Relationship Id="rId32" Type="http://schemas.openxmlformats.org/officeDocument/2006/relationships/hyperlink" Target="consultantplus://offline/ref=A53E8B40840A4EAAF6674F36843327C2ABBCA6111D33AEC10747A2ACA09E2DCFA5C352BDE6541AEA25438F0F1BD6B484F7A1871BD657C6CFL0xAJ" TargetMode = "External"/>
	<Relationship Id="rId33" Type="http://schemas.openxmlformats.org/officeDocument/2006/relationships/hyperlink" Target="consultantplus://offline/ref=A53E8B40840A4EAAF6674F36843327C2ABB3A517193CAEC10747A2ACA09E2DCFB7C30AB1E65504E32456D95E5DL8x1J" TargetMode = "External"/>
	<Relationship Id="rId34" Type="http://schemas.openxmlformats.org/officeDocument/2006/relationships/hyperlink" Target="consultantplus://offline/ref=A53E8B40840A4EAAF6674F36843327C2A8BAAB121E3BAEC10747A2ACA09E2DCFA5C352BDE65418E426438F0F1BD6B484F7A1871BD657C6CFL0xAJ" TargetMode = "External"/>
	<Relationship Id="rId35" Type="http://schemas.openxmlformats.org/officeDocument/2006/relationships/hyperlink" Target="consultantplus://offline/ref=A53E8B40840A4EAAF6674F36843327C2AEBAA4121B33AEC10747A2ACA09E2DCFB7C30AB1E65504E32456D95E5DL8x1J" TargetMode = "External"/>
	<Relationship Id="rId36" Type="http://schemas.openxmlformats.org/officeDocument/2006/relationships/hyperlink" Target="consultantplus://offline/ref=A53E8B40840A4EAAF6674F36843327C2AEB8AA141C3DAEC10747A2ACA09E2DCFA5C352BDE65419EB2F438F0F1BD6B484F7A1871BD657C6CFL0xAJ" TargetMode = "External"/>
	<Relationship Id="rId37" Type="http://schemas.openxmlformats.org/officeDocument/2006/relationships/hyperlink" Target="consultantplus://offline/ref=A53E8B40840A4EAAF6674F36843327C2AEB8AA141C3DAEC10747A2ACA09E2DCFA5C352BDE6541EE12F438F0F1BD6B484F7A1871BD657C6CFL0xAJ" TargetMode = "External"/>
	<Relationship Id="rId38" Type="http://schemas.openxmlformats.org/officeDocument/2006/relationships/hyperlink" Target="consultantplus://offline/ref=A53E8B40840A4EAAF6674F36843327C2AEBBA315193EAEC10747A2ACA09E2DCFA5C352B5E75211B6770C8E535F82A785F4A18419CAL5x7J" TargetMode = "External"/>
	<Relationship Id="rId39" Type="http://schemas.openxmlformats.org/officeDocument/2006/relationships/hyperlink" Target="consultantplus://offline/ref=A53E8B40840A4EAAF6674F36843327C2AEB8AA141C3DAEC10747A2ACA09E2DCFB7C30AB1E65504E32456D95E5DL8x1J" TargetMode = "External"/>
	<Relationship Id="rId40" Type="http://schemas.openxmlformats.org/officeDocument/2006/relationships/hyperlink" Target="consultantplus://offline/ref=A53E8B40840A4EAAF6674F36843327C2AEB9A3151232AEC10747A2ACA09E2DCFA5C352BDE6501BE523438F0F1BD6B484F7A1871BD657C6CFL0xAJ" TargetMode = "External"/>
	<Relationship Id="rId41" Type="http://schemas.openxmlformats.org/officeDocument/2006/relationships/hyperlink" Target="consultantplus://offline/ref=A53E8B40840A4EAAF6674F36843327C2AEB8A4141A33AEC10747A2ACA09E2DCFA5C352BDEE521AE972199F0B5283B89AF7BD981BC857LCx4J" TargetMode = "External"/>
	<Relationship Id="rId42" Type="http://schemas.openxmlformats.org/officeDocument/2006/relationships/hyperlink" Target="consultantplus://offline/ref=A53E8B40840A4EAAF6674F36843327C2AEB8A111183BAEC10747A2ACA09E2DCFA5C352BDE6541AE322438F0F1BD6B484F7A1871BD657C6CFL0xAJ" TargetMode = "External"/>
	<Relationship Id="rId43" Type="http://schemas.openxmlformats.org/officeDocument/2006/relationships/hyperlink" Target="consultantplus://offline/ref=A53E8B40840A4EAAF6674F36843327C2AEB8A111183BAEC10747A2ACA09E2DCFB7C30AB1E65504E32456D95E5DL8x1J" TargetMode = "External"/>
	<Relationship Id="rId44" Type="http://schemas.openxmlformats.org/officeDocument/2006/relationships/hyperlink" Target="consultantplus://offline/ref=A53E8B40840A4EAAF6674F36843327C2AEB8A1131D3BAEC10747A2ACA09E2DCFA5C352BDE7541AE972199F0B5283B89AF7BD981BC857LCx4J" TargetMode = "External"/>
	<Relationship Id="rId45" Type="http://schemas.openxmlformats.org/officeDocument/2006/relationships/hyperlink" Target="consultantplus://offline/ref=A53E8B40840A4EAAF6674F36843327C2AEBBA3171B3DAEC10747A2ACA09E2DCFA5C352BDE6561BEB25438F0F1BD6B484F7A1871BD657C6CFL0xAJ" TargetMode = "External"/>
	<Relationship Id="rId46" Type="http://schemas.openxmlformats.org/officeDocument/2006/relationships/hyperlink" Target="consultantplus://offline/ref=A53E8B40840A4EAAF6674F36843327C2AEBBA3171B3DAEC10747A2ACA09E2DCFA5C352BDE6561BEB24438F0F1BD6B484F7A1871BD657C6CFL0xAJ" TargetMode = "External"/>
	<Relationship Id="rId47" Type="http://schemas.openxmlformats.org/officeDocument/2006/relationships/hyperlink" Target="consultantplus://offline/ref=A53E8B40840A4EAAF6674F36843327C2AEBAA4121B33AEC10747A2ACA09E2DCFA5C352BDE6541FE521438F0F1BD6B484F7A1871BD657C6CFL0xAJ" TargetMode = "External"/>
	<Relationship Id="rId48" Type="http://schemas.openxmlformats.org/officeDocument/2006/relationships/hyperlink" Target="consultantplus://offline/ref=A53E8B40840A4EAAF6674F36843327C2AEBAA4121B33AEC10747A2ACA09E2DCFA5C352BDE6541FEB23438F0F1BD6B484F7A1871BD657C6CFL0xAJ" TargetMode = "External"/>
	<Relationship Id="rId49" Type="http://schemas.openxmlformats.org/officeDocument/2006/relationships/hyperlink" Target="consultantplus://offline/ref=A53E8B40840A4EAAF6674F36843327C2AEBAA4121B33AEC10747A2ACA09E2DCFA5C352BDE6541CE220438F0F1BD6B484F7A1871BD657C6CFL0xAJ" TargetMode = "External"/>
	<Relationship Id="rId50" Type="http://schemas.openxmlformats.org/officeDocument/2006/relationships/hyperlink" Target="consultantplus://offline/ref=A53E8B40840A4EAAF6674F36843327C2AEBAA4121B33AEC10747A2ACA09E2DCFB7C30AB1E65504E32456D95E5DL8x1J" TargetMode = "External"/>
	<Relationship Id="rId51" Type="http://schemas.openxmlformats.org/officeDocument/2006/relationships/hyperlink" Target="consultantplus://offline/ref=A53E8B40840A4EAAF6674F36843327C2AEB8AA141C3DAEC10747A2ACA09E2DCFA5C352BDE6541CE222438F0F1BD6B484F7A1871BD657C6CFL0xAJ" TargetMode = "External"/>
	<Relationship Id="rId52" Type="http://schemas.openxmlformats.org/officeDocument/2006/relationships/hyperlink" Target="consultantplus://offline/ref=A53E8B40840A4EAAF6674F36843327C2AEB8A1131D3BAEC10747A2ACA09E2DCFB7C30AB1E65504E32456D95E5DL8x1J" TargetMode = "External"/>
	<Relationship Id="rId53" Type="http://schemas.openxmlformats.org/officeDocument/2006/relationships/hyperlink" Target="consultantplus://offline/ref=A53E8B40840A4EAAF6674F36843327C2AEB8AA141C3DAEC10747A2ACA09E2DCFA5C352BDE6541EE224438F0F1BD6B484F7A1871BD657C6CFL0xAJ" TargetMode = "External"/>
	<Relationship Id="rId54" Type="http://schemas.openxmlformats.org/officeDocument/2006/relationships/hyperlink" Target="consultantplus://offline/ref=A53E8B40840A4EAAF6674F36843327C2AEB8AA141C3DAEC10747A2ACA09E2DCFA5C352BDE6541CE222438F0F1BD6B484F7A1871BD657C6CFL0xAJ" TargetMode = "External"/>
	<Relationship Id="rId55" Type="http://schemas.openxmlformats.org/officeDocument/2006/relationships/hyperlink" Target="consultantplus://offline/ref=A53E8B40840A4EAAF6674F36843327C2AEBBA3171B3DAEC10747A2ACA09E2DCFA5C352BDE6551BEA21438F0F1BD6B484F7A1871BD657C6CFL0xAJ" TargetMode = "External"/>
	<Relationship Id="rId56" Type="http://schemas.openxmlformats.org/officeDocument/2006/relationships/hyperlink" Target="consultantplus://offline/ref=A53E8B40840A4EAAF6674F36843327C2AEB8AA141C3DAEC10747A2ACA09E2DCFA5C352BDE6551AE326438F0F1BD6B484F7A1871BD657C6CFL0xAJ" TargetMode = "External"/>
	<Relationship Id="rId57" Type="http://schemas.openxmlformats.org/officeDocument/2006/relationships/hyperlink" Target="consultantplus://offline/ref=A53E8B40840A4EAAF6674F36843327C2AEB8AA141C3DAEC10747A2ACA09E2DCFA5C352BDE6551AE22E438F0F1BD6B484F7A1871BD657C6CFL0xAJ" TargetMode = "External"/>
	<Relationship Id="rId58" Type="http://schemas.openxmlformats.org/officeDocument/2006/relationships/hyperlink" Target="consultantplus://offline/ref=A53E8B40840A4EAAF6674F36843327C2AEB8AA141C3DAEC10747A2ACA09E2DCFA5C352BDE6551AE22F438F0F1BD6B484F7A1871BD657C6CFL0xAJ" TargetMode = "External"/>
	<Relationship Id="rId59" Type="http://schemas.openxmlformats.org/officeDocument/2006/relationships/hyperlink" Target="consultantplus://offline/ref=A53E8B40840A4EAAF6674F36843327C2A9BEA1121E3AAEC10747A2ACA09E2DCFA5C352BDE6541DE721438F0F1BD6B484F7A1871BD657C6CFL0xAJ" TargetMode = "External"/>
	<Relationship Id="rId60" Type="http://schemas.openxmlformats.org/officeDocument/2006/relationships/hyperlink" Target="consultantplus://offline/ref=A53E8B40840A4EAAF6674F36843327C2A9BEA1121E3AAEC10747A2ACA09E2DCFA5C352BDE65413E025438F0F1BD6B484F7A1871BD657C6CFL0xAJ" TargetMode = "External"/>
	<Relationship Id="rId61" Type="http://schemas.openxmlformats.org/officeDocument/2006/relationships/hyperlink" Target="consultantplus://offline/ref=A53E8B40840A4EAAF6674F36843327C2AEB8AA141C3DAEC10747A2ACA09E2DCFA5C352BDE6551AE22E438F0F1BD6B484F7A1871BD657C6CFL0xAJ" TargetMode = "External"/>
	<Relationship Id="rId62" Type="http://schemas.openxmlformats.org/officeDocument/2006/relationships/hyperlink" Target="consultantplus://offline/ref=A53E8B40840A4EAAF6674F36843327C2A9BEA1121E3AAEC10747A2ACA09E2DCFA5C352BDE6541BEB22438F0F1BD6B484F7A1871BD657C6CFL0xAJ" TargetMode = "External"/>
	<Relationship Id="rId63" Type="http://schemas.openxmlformats.org/officeDocument/2006/relationships/hyperlink" Target="consultantplus://offline/ref=A53E8B40840A4EAAF6674F36843327C2A9BEA1121E3AAEC10747A2ACA09E2DCFA5C352BDE65418E722438F0F1BD6B484F7A1871BD657C6CFL0xAJ" TargetMode = "External"/>
	<Relationship Id="rId64" Type="http://schemas.openxmlformats.org/officeDocument/2006/relationships/hyperlink" Target="consultantplus://offline/ref=A53E8B40840A4EAAF6674F36843327C2AEBAA4121B33AEC10747A2ACA09E2DCFB7C30AB1E65504E32456D95E5DL8x1J" TargetMode = "External"/>
	<Relationship Id="rId65" Type="http://schemas.openxmlformats.org/officeDocument/2006/relationships/hyperlink" Target="consultantplus://offline/ref=A53E8B40840A4EAAF6674F36843327C2AEB8A1131D3BAEC10747A2ACA09E2DCFB7C30AB1E65504E32456D95E5DL8x1J" TargetMode = "External"/>
	<Relationship Id="rId66" Type="http://schemas.openxmlformats.org/officeDocument/2006/relationships/hyperlink" Target="consultantplus://offline/ref=A53E8B40840A4EAAF6674F36843327C2AEB8A1131D3BAEC10747A2ACA09E2DCFA5C352BDE6531CE972199F0B5283B89AF7BD981BC857LCx4J" TargetMode = "External"/>
	<Relationship Id="rId67" Type="http://schemas.openxmlformats.org/officeDocument/2006/relationships/hyperlink" Target="consultantplus://offline/ref=A53E8B40840A4EAAF6674F36843327C2AEB8A1131D3BAEC10747A2ACA09E2DCFA5C352BEE6551CE972199F0B5283B89AF7BD981BC857LCx4J" TargetMode = "External"/>
	<Relationship Id="rId68" Type="http://schemas.openxmlformats.org/officeDocument/2006/relationships/hyperlink" Target="consultantplus://offline/ref=A53E8B40840A4EAAF6674F36843327C2A9BBA2181D3CAEC10747A2ACA09E2DCFB7C30AB1E65504E32456D95E5DL8x1J" TargetMode = "External"/>
	<Relationship Id="rId69" Type="http://schemas.openxmlformats.org/officeDocument/2006/relationships/hyperlink" Target="consultantplus://offline/ref=A53E8B40840A4EAAF6674F36843327C2AEB8A3181F3EAEC10747A2ACA09E2DCFB7C30AB1E65504E32456D95E5DL8x1J" TargetMode = "External"/>
	<Relationship Id="rId70" Type="http://schemas.openxmlformats.org/officeDocument/2006/relationships/hyperlink" Target="consultantplus://offline/ref=A53E8B40840A4EAAF6674F36843327C2AEBAA4121B33AEC10747A2ACA09E2DCFB7C30AB1E65504E32456D95E5DL8x1J" TargetMode = "External"/>
	<Relationship Id="rId71" Type="http://schemas.openxmlformats.org/officeDocument/2006/relationships/hyperlink" Target="consultantplus://offline/ref=A53E8B40840A4EAAF6674F36843327C2AEB8A111183BAEC10747A2ACA09E2DCFA5C352BDE6541AE322438F0F1BD6B484F7A1871BD657C6CFL0xAJ" TargetMode = "External"/>
	<Relationship Id="rId72" Type="http://schemas.openxmlformats.org/officeDocument/2006/relationships/hyperlink" Target="consultantplus://offline/ref=A53E8B40840A4EAAF6674F36843327C2A9B2AB151D32AEC10747A2ACA09E2DCFA5C352BDE6541AE024438F0F1BD6B484F7A1871BD657C6CFL0xAJ" TargetMode = "External"/>
	<Relationship Id="rId73" Type="http://schemas.openxmlformats.org/officeDocument/2006/relationships/hyperlink" Target="consultantplus://offline/ref=A53E8B40840A4EAAF6674F36843327C2A9B8A2131332AEC10747A2ACA09E2DCFA5C352BDE6541AE327438F0F1BD6B484F7A1871BD657C6CFL0xAJ" TargetMode = "External"/>
	<Relationship Id="rId74" Type="http://schemas.openxmlformats.org/officeDocument/2006/relationships/hyperlink" Target="consultantplus://offline/ref=A53E8B40840A4EAAF6674F36843327C2AEBAA4121B33AEC10747A2ACA09E2DCFA5C352BEE25C1EE972199F0B5283B89AF7BD981BC857LCx4J" TargetMode = "External"/>
	<Relationship Id="rId75" Type="http://schemas.openxmlformats.org/officeDocument/2006/relationships/hyperlink" Target="consultantplus://offline/ref=A53E8B40840A4EAAF6674F36843327C2AEBBAB161C3AAEC10747A2ACA09E2DCFA5C352B5EE5F4EB3621DD65E5E9DB886E8BD861BLCxAJ" TargetMode = "External"/>
	<Relationship Id="rId76" Type="http://schemas.openxmlformats.org/officeDocument/2006/relationships/hyperlink" Target="consultantplus://offline/ref=A53E8B40840A4EAAF667462F833327C2A8BEA3151E39AEC10747A2ACA09E2DCFB7C30AB1E65504E32456D95E5DL8x1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4022.00.21</Application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Росреестра от 13.04.2020 N 3215-АБ/20
"Об объектах вспомогательного использования"</dc:title>
  <dcterms:created xsi:type="dcterms:W3CDTF">2022-12-01T09:49:11Z</dcterms:created>
</cp:coreProperties>
</file>